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21C3F" w14:textId="77777777" w:rsidR="007E1BBE" w:rsidRDefault="007E1BBE" w:rsidP="007E1BBE">
      <w:pPr>
        <w:pStyle w:val="IcaoListabc"/>
        <w:numPr>
          <w:ilvl w:val="0"/>
          <w:numId w:val="0"/>
        </w:numPr>
      </w:pPr>
    </w:p>
    <w:p w14:paraId="2A841312" w14:textId="0E16C00B" w:rsidR="004D1D37" w:rsidRPr="00D40182" w:rsidRDefault="007E1BBE" w:rsidP="007E1BBE">
      <w:pPr>
        <w:pStyle w:val="IcaoListabc"/>
        <w:numPr>
          <w:ilvl w:val="0"/>
          <w:numId w:val="0"/>
        </w:numPr>
      </w:pPr>
      <w:r>
        <w:t>…</w:t>
      </w:r>
    </w:p>
    <w:p w14:paraId="03197514" w14:textId="77777777" w:rsidR="0072615D" w:rsidRPr="0072615D" w:rsidRDefault="0072615D" w:rsidP="0072615D">
      <w:pPr>
        <w:keepNext/>
        <w:numPr>
          <w:ilvl w:val="0"/>
          <w:numId w:val="25"/>
        </w:numPr>
        <w:spacing w:before="100" w:beforeAutospacing="1" w:after="240"/>
        <w:outlineLvl w:val="1"/>
        <w:rPr>
          <w:rFonts w:ascii="Times New Roman" w:eastAsia="Times New Roman" w:hAnsi="Times New Roman"/>
          <w:b/>
          <w:sz w:val="24"/>
          <w:szCs w:val="24"/>
          <w:lang w:val="en-GB" w:eastAsia="de-DE"/>
        </w:rPr>
      </w:pPr>
      <w:bookmarkStart w:id="0" w:name="_Toc93998577"/>
      <w:r w:rsidRPr="0072615D">
        <w:rPr>
          <w:rFonts w:ascii="Times New Roman" w:eastAsia="Times New Roman" w:hAnsi="Times New Roman"/>
          <w:b/>
          <w:sz w:val="24"/>
          <w:szCs w:val="24"/>
          <w:lang w:val="en-GB" w:eastAsia="de-DE"/>
        </w:rPr>
        <w:t>Utilization of the frequency band 117.975 – 137 MHz</w:t>
      </w:r>
      <w:bookmarkEnd w:id="0"/>
    </w:p>
    <w:p w14:paraId="02AD3864" w14:textId="77777777" w:rsidR="0072615D" w:rsidRPr="0072615D" w:rsidRDefault="0072615D" w:rsidP="0072615D">
      <w:pPr>
        <w:widowControl w:val="0"/>
        <w:numPr>
          <w:ilvl w:val="1"/>
          <w:numId w:val="25"/>
        </w:numPr>
        <w:tabs>
          <w:tab w:val="num" w:pos="540"/>
        </w:tabs>
        <w:spacing w:after="240"/>
        <w:ind w:left="540"/>
        <w:jc w:val="both"/>
        <w:rPr>
          <w:rFonts w:ascii="Times New Roman" w:eastAsia="Times New Roman" w:hAnsi="Times New Roman"/>
          <w:szCs w:val="24"/>
          <w:lang w:val="en-GB" w:eastAsia="de-DE"/>
        </w:rPr>
      </w:pPr>
      <w:r w:rsidRPr="0072615D">
        <w:rPr>
          <w:rFonts w:ascii="Times New Roman" w:eastAsia="Times New Roman" w:hAnsi="Times New Roman"/>
          <w:szCs w:val="24"/>
          <w:lang w:val="en-GB" w:eastAsia="de-DE"/>
        </w:rPr>
        <w:t xml:space="preserve">The table is based on Annex 10, Volume V, 4.1.1 also incorporating regional agreements on specific uses of individual frequencies or sub-bands </w:t>
      </w:r>
      <w:r w:rsidRPr="0072615D">
        <w:rPr>
          <w:rFonts w:ascii="Times New Roman" w:eastAsia="Times New Roman" w:hAnsi="Times New Roman"/>
          <w:szCs w:val="22"/>
          <w:lang w:val="de-DE" w:eastAsia="en-US"/>
        </w:rPr>
        <w:t>and the identification of the assignable 25 kHz and 8.33 kHz channels</w:t>
      </w:r>
      <w:r w:rsidRPr="0072615D">
        <w:rPr>
          <w:rFonts w:ascii="Times New Roman" w:eastAsia="Times New Roman" w:hAnsi="Times New Roman"/>
          <w:szCs w:val="22"/>
          <w:lang w:val="en-GB"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132"/>
        <w:gridCol w:w="2322"/>
        <w:gridCol w:w="3358"/>
      </w:tblGrid>
      <w:tr w:rsidR="0072615D" w:rsidRPr="0072615D" w14:paraId="733ECD7B" w14:textId="77777777" w:rsidTr="00645024">
        <w:tc>
          <w:tcPr>
            <w:tcW w:w="1476" w:type="dxa"/>
          </w:tcPr>
          <w:p w14:paraId="4A5909AE" w14:textId="77777777" w:rsidR="0072615D" w:rsidRPr="0072615D" w:rsidRDefault="0072615D" w:rsidP="0072615D">
            <w:pPr>
              <w:rPr>
                <w:rFonts w:ascii="Times New Roman" w:eastAsia="Times New Roman" w:hAnsi="Times New Roman"/>
                <w:b/>
                <w:szCs w:val="22"/>
                <w:highlight w:val="lightGray"/>
                <w:lang w:val="de-DE" w:eastAsia="en-US"/>
              </w:rPr>
            </w:pPr>
            <w:r w:rsidRPr="0072615D">
              <w:rPr>
                <w:rFonts w:ascii="Times New Roman" w:eastAsia="Times New Roman" w:hAnsi="Times New Roman"/>
                <w:b/>
                <w:szCs w:val="22"/>
                <w:lang w:val="de-DE" w:eastAsia="en-US"/>
              </w:rPr>
              <w:t xml:space="preserve">Channel </w:t>
            </w:r>
          </w:p>
        </w:tc>
        <w:tc>
          <w:tcPr>
            <w:tcW w:w="2132" w:type="dxa"/>
          </w:tcPr>
          <w:p w14:paraId="54D52F46" w14:textId="77777777" w:rsidR="0072615D" w:rsidRPr="0072615D" w:rsidRDefault="0072615D" w:rsidP="0072615D">
            <w:pPr>
              <w:rPr>
                <w:rFonts w:ascii="Times New Roman" w:eastAsia="Times New Roman" w:hAnsi="Times New Roman"/>
                <w:b/>
                <w:szCs w:val="22"/>
                <w:lang w:val="de-DE" w:eastAsia="en-US"/>
              </w:rPr>
            </w:pPr>
            <w:r w:rsidRPr="0072615D">
              <w:rPr>
                <w:rFonts w:ascii="Times New Roman" w:eastAsia="Times New Roman" w:hAnsi="Times New Roman"/>
                <w:b/>
                <w:szCs w:val="22"/>
                <w:lang w:val="de-DE" w:eastAsia="en-US"/>
              </w:rPr>
              <w:t>Frequencies (MHz)</w:t>
            </w:r>
          </w:p>
        </w:tc>
        <w:tc>
          <w:tcPr>
            <w:tcW w:w="2322" w:type="dxa"/>
          </w:tcPr>
          <w:p w14:paraId="1183652D" w14:textId="77777777" w:rsidR="0072615D" w:rsidRPr="0072615D" w:rsidRDefault="0072615D" w:rsidP="0072615D">
            <w:pPr>
              <w:rPr>
                <w:rFonts w:ascii="Times New Roman" w:eastAsia="Times New Roman" w:hAnsi="Times New Roman"/>
                <w:b/>
                <w:szCs w:val="22"/>
                <w:lang w:val="de-DE" w:eastAsia="en-US"/>
              </w:rPr>
            </w:pPr>
            <w:r w:rsidRPr="0072615D" w:rsidDel="00EE6367">
              <w:rPr>
                <w:rFonts w:ascii="Times New Roman" w:eastAsia="Times New Roman" w:hAnsi="Times New Roman"/>
                <w:b/>
                <w:szCs w:val="22"/>
                <w:lang w:val="de-DE" w:eastAsia="en-US"/>
              </w:rPr>
              <w:t xml:space="preserve">Worldwide </w:t>
            </w:r>
            <w:r w:rsidRPr="0072615D">
              <w:rPr>
                <w:rFonts w:ascii="Times New Roman" w:eastAsia="Times New Roman" w:hAnsi="Times New Roman"/>
                <w:b/>
                <w:szCs w:val="22"/>
                <w:lang w:val="de-DE" w:eastAsia="en-US"/>
              </w:rPr>
              <w:t>General utilization</w:t>
            </w:r>
          </w:p>
        </w:tc>
        <w:tc>
          <w:tcPr>
            <w:tcW w:w="3358" w:type="dxa"/>
          </w:tcPr>
          <w:p w14:paraId="78CD3387" w14:textId="77777777" w:rsidR="0072615D" w:rsidRPr="0072615D" w:rsidRDefault="0072615D" w:rsidP="0072615D">
            <w:pPr>
              <w:rPr>
                <w:rFonts w:ascii="Times New Roman" w:eastAsia="Times New Roman" w:hAnsi="Times New Roman"/>
                <w:b/>
                <w:szCs w:val="22"/>
                <w:lang w:val="de-DE" w:eastAsia="en-US"/>
              </w:rPr>
            </w:pPr>
            <w:r w:rsidRPr="0072615D">
              <w:rPr>
                <w:rFonts w:ascii="Times New Roman" w:eastAsia="Times New Roman" w:hAnsi="Times New Roman"/>
                <w:b/>
                <w:szCs w:val="22"/>
                <w:lang w:val="de-DE" w:eastAsia="en-US"/>
              </w:rPr>
              <w:t>EUR special application or remarks</w:t>
            </w:r>
          </w:p>
        </w:tc>
      </w:tr>
      <w:tr w:rsidR="0072615D" w:rsidRPr="0072615D" w14:paraId="20C668DE" w14:textId="77777777" w:rsidTr="00645024">
        <w:trPr>
          <w:trHeight w:val="837"/>
        </w:trPr>
        <w:tc>
          <w:tcPr>
            <w:tcW w:w="1476" w:type="dxa"/>
          </w:tcPr>
          <w:p w14:paraId="4B5DE93C" w14:textId="77777777" w:rsidR="0072615D" w:rsidRPr="0072615D" w:rsidRDefault="0072615D" w:rsidP="0072615D">
            <w:pPr>
              <w:jc w:val="both"/>
              <w:rPr>
                <w:rFonts w:ascii="Times New Roman" w:eastAsia="Times New Roman" w:hAnsi="Times New Roman"/>
                <w:szCs w:val="22"/>
                <w:highlight w:val="lightGray"/>
                <w:lang w:val="de-DE" w:eastAsia="en-US"/>
              </w:rPr>
            </w:pPr>
            <w:r w:rsidRPr="0072615D">
              <w:rPr>
                <w:rFonts w:ascii="Times New Roman" w:eastAsia="Times New Roman" w:hAnsi="Times New Roman"/>
                <w:szCs w:val="22"/>
                <w:lang w:val="de-DE" w:eastAsia="en-US"/>
              </w:rPr>
              <w:t>118.000 – 121.460 inclusive</w:t>
            </w:r>
          </w:p>
        </w:tc>
        <w:tc>
          <w:tcPr>
            <w:tcW w:w="2132" w:type="dxa"/>
          </w:tcPr>
          <w:p w14:paraId="6CC97EE2" w14:textId="77777777" w:rsidR="0072615D" w:rsidRPr="0072615D" w:rsidRDefault="0072615D" w:rsidP="0072615D">
            <w:pPr>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118.000 - 121.4583 inclusive</w:t>
            </w:r>
          </w:p>
        </w:tc>
        <w:tc>
          <w:tcPr>
            <w:tcW w:w="2322" w:type="dxa"/>
          </w:tcPr>
          <w:p w14:paraId="09158703"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Aeronautical Mobile Services</w:t>
            </w:r>
          </w:p>
        </w:tc>
        <w:tc>
          <w:tcPr>
            <w:tcW w:w="3358" w:type="dxa"/>
          </w:tcPr>
          <w:p w14:paraId="19E92894"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119.700 MHz reserved for regional guard supplementary tower and approach services.</w:t>
            </w:r>
          </w:p>
        </w:tc>
      </w:tr>
      <w:tr w:rsidR="0072615D" w:rsidRPr="0072615D" w14:paraId="46799CDF" w14:textId="77777777" w:rsidTr="00645024">
        <w:tc>
          <w:tcPr>
            <w:tcW w:w="1476" w:type="dxa"/>
          </w:tcPr>
          <w:p w14:paraId="76B1E1D7"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121.500</w:t>
            </w:r>
          </w:p>
        </w:tc>
        <w:tc>
          <w:tcPr>
            <w:tcW w:w="2132" w:type="dxa"/>
          </w:tcPr>
          <w:p w14:paraId="2131E31A"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121.500</w:t>
            </w:r>
          </w:p>
        </w:tc>
        <w:tc>
          <w:tcPr>
            <w:tcW w:w="2322" w:type="dxa"/>
          </w:tcPr>
          <w:p w14:paraId="11E228CD"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 xml:space="preserve">Emergency frequency   </w:t>
            </w:r>
          </w:p>
        </w:tc>
        <w:tc>
          <w:tcPr>
            <w:tcW w:w="3358" w:type="dxa"/>
          </w:tcPr>
          <w:p w14:paraId="2C43F779" w14:textId="77777777" w:rsidR="0072615D" w:rsidRPr="0072615D" w:rsidRDefault="0072615D" w:rsidP="0072615D">
            <w:pPr>
              <w:jc w:val="both"/>
              <w:rPr>
                <w:rFonts w:ascii="Times New Roman" w:eastAsia="Times New Roman" w:hAnsi="Times New Roman"/>
                <w:szCs w:val="22"/>
                <w:lang w:val="de-DE" w:eastAsia="en-US"/>
              </w:rPr>
            </w:pPr>
          </w:p>
        </w:tc>
      </w:tr>
      <w:tr w:rsidR="0072615D" w:rsidRPr="0072615D" w14:paraId="2EB9923D" w14:textId="77777777" w:rsidTr="00645024">
        <w:tc>
          <w:tcPr>
            <w:tcW w:w="1476" w:type="dxa"/>
          </w:tcPr>
          <w:p w14:paraId="4283EE87"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121.540 – 121.990    inclusive</w:t>
            </w:r>
          </w:p>
        </w:tc>
        <w:tc>
          <w:tcPr>
            <w:tcW w:w="2132" w:type="dxa"/>
          </w:tcPr>
          <w:p w14:paraId="5A6290E0" w14:textId="77777777" w:rsidR="0072615D" w:rsidRPr="0072615D" w:rsidRDefault="0072615D" w:rsidP="0072615D">
            <w:pPr>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121.5417 - 121.9916 inclusive</w:t>
            </w:r>
          </w:p>
        </w:tc>
        <w:tc>
          <w:tcPr>
            <w:tcW w:w="2322" w:type="dxa"/>
          </w:tcPr>
          <w:p w14:paraId="125CC76E"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Aerodrome Surface Communications</w:t>
            </w:r>
          </w:p>
        </w:tc>
        <w:tc>
          <w:tcPr>
            <w:tcW w:w="3358" w:type="dxa"/>
          </w:tcPr>
          <w:p w14:paraId="0C5B8993" w14:textId="77777777" w:rsidR="0072615D" w:rsidRPr="0072615D" w:rsidRDefault="0072615D" w:rsidP="0072615D">
            <w:pPr>
              <w:jc w:val="both"/>
              <w:rPr>
                <w:rFonts w:ascii="Times New Roman" w:eastAsia="Times New Roman" w:hAnsi="Times New Roman"/>
                <w:szCs w:val="22"/>
                <w:lang w:val="de-DE" w:eastAsia="en-US"/>
              </w:rPr>
            </w:pPr>
          </w:p>
        </w:tc>
      </w:tr>
      <w:tr w:rsidR="0072615D" w:rsidRPr="0072615D" w14:paraId="3D1E9806" w14:textId="77777777" w:rsidTr="00645024">
        <w:tc>
          <w:tcPr>
            <w:tcW w:w="1476" w:type="dxa"/>
          </w:tcPr>
          <w:p w14:paraId="202BECBA"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 xml:space="preserve">122.000 – </w:t>
            </w:r>
            <w:r w:rsidRPr="0072615D">
              <w:rPr>
                <w:rFonts w:ascii="Times New Roman" w:eastAsia="Times New Roman" w:hAnsi="Times New Roman"/>
                <w:strike/>
                <w:szCs w:val="22"/>
                <w:lang w:val="de-DE" w:eastAsia="en-US"/>
              </w:rPr>
              <w:t xml:space="preserve">123.060 </w:t>
            </w:r>
            <w:r w:rsidRPr="0072615D">
              <w:rPr>
                <w:rFonts w:ascii="Times New Roman" w:eastAsia="Times New Roman" w:hAnsi="Times New Roman"/>
                <w:szCs w:val="22"/>
                <w:highlight w:val="lightGray"/>
                <w:lang w:val="de-DE" w:eastAsia="en-US"/>
              </w:rPr>
              <w:t>123.065</w:t>
            </w:r>
          </w:p>
        </w:tc>
        <w:tc>
          <w:tcPr>
            <w:tcW w:w="2132" w:type="dxa"/>
          </w:tcPr>
          <w:p w14:paraId="502568BF" w14:textId="77777777" w:rsidR="0072615D" w:rsidRPr="0072615D" w:rsidRDefault="0072615D" w:rsidP="0072615D">
            <w:pPr>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 xml:space="preserve">122.000 - </w:t>
            </w:r>
            <w:r w:rsidRPr="0072615D">
              <w:rPr>
                <w:rFonts w:ascii="Times New Roman" w:eastAsia="Times New Roman" w:hAnsi="Times New Roman"/>
                <w:strike/>
                <w:szCs w:val="22"/>
                <w:lang w:val="de-DE" w:eastAsia="en-US"/>
              </w:rPr>
              <w:t>123.0583</w:t>
            </w:r>
            <w:r w:rsidRPr="0072615D">
              <w:rPr>
                <w:rFonts w:ascii="Times New Roman" w:eastAsia="Times New Roman" w:hAnsi="Times New Roman"/>
                <w:szCs w:val="22"/>
                <w:lang w:val="de-DE" w:eastAsia="en-US"/>
              </w:rPr>
              <w:t xml:space="preserve"> </w:t>
            </w:r>
            <w:r w:rsidRPr="0072615D">
              <w:rPr>
                <w:rFonts w:ascii="Times New Roman" w:eastAsia="Times New Roman" w:hAnsi="Times New Roman"/>
                <w:szCs w:val="22"/>
                <w:highlight w:val="lightGray"/>
                <w:lang w:val="de-DE" w:eastAsia="en-US"/>
              </w:rPr>
              <w:t>123.0667</w:t>
            </w:r>
            <w:r w:rsidRPr="0072615D">
              <w:rPr>
                <w:rFonts w:ascii="Times New Roman" w:eastAsia="Times New Roman" w:hAnsi="Times New Roman"/>
                <w:szCs w:val="22"/>
                <w:lang w:val="de-DE" w:eastAsia="en-US"/>
              </w:rPr>
              <w:t xml:space="preserve"> inclusive</w:t>
            </w:r>
          </w:p>
        </w:tc>
        <w:tc>
          <w:tcPr>
            <w:tcW w:w="2322" w:type="dxa"/>
          </w:tcPr>
          <w:p w14:paraId="463044AC"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Aeronautical Mobile Services</w:t>
            </w:r>
          </w:p>
        </w:tc>
        <w:tc>
          <w:tcPr>
            <w:tcW w:w="3358" w:type="dxa"/>
          </w:tcPr>
          <w:p w14:paraId="44C759CB"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122.100 MHz reserved as common channel to provide supplementary TWR/APP services in a number of nations.</w:t>
            </w:r>
          </w:p>
          <w:p w14:paraId="2ECC9C63"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122.500 MHz reserved for regional light aviation.</w:t>
            </w:r>
          </w:p>
          <w:p w14:paraId="7A983B0F" w14:textId="3EF364D4" w:rsidR="0072615D" w:rsidRPr="0072615D" w:rsidRDefault="00391C3A" w:rsidP="0072615D">
            <w:pPr>
              <w:jc w:val="both"/>
              <w:rPr>
                <w:rFonts w:ascii="Times New Roman" w:eastAsia="Times New Roman" w:hAnsi="Times New Roman"/>
                <w:szCs w:val="22"/>
                <w:lang w:val="de-DE" w:eastAsia="en-US"/>
              </w:rPr>
            </w:pPr>
            <w:r>
              <w:rPr>
                <w:rFonts w:ascii="Times New Roman" w:eastAsia="Times New Roman" w:hAnsi="Times New Roman"/>
                <w:szCs w:val="22"/>
                <w:highlight w:val="lightGray"/>
                <w:lang w:val="de-DE" w:eastAsia="en-US"/>
              </w:rPr>
              <w:t>Channel</w:t>
            </w:r>
            <w:r w:rsidRPr="0072615D">
              <w:rPr>
                <w:rFonts w:ascii="Times New Roman" w:eastAsia="Times New Roman" w:hAnsi="Times New Roman"/>
                <w:szCs w:val="22"/>
                <w:highlight w:val="lightGray"/>
                <w:lang w:val="de-DE" w:eastAsia="en-US"/>
              </w:rPr>
              <w:t xml:space="preserve"> </w:t>
            </w:r>
            <w:r w:rsidR="0072615D" w:rsidRPr="0072615D">
              <w:rPr>
                <w:rFonts w:ascii="Times New Roman" w:eastAsia="Times New Roman" w:hAnsi="Times New Roman"/>
                <w:szCs w:val="22"/>
                <w:highlight w:val="lightGray"/>
                <w:lang w:val="de-DE" w:eastAsia="en-US"/>
              </w:rPr>
              <w:t>123.065</w:t>
            </w:r>
            <w:r w:rsidR="00430F5C" w:rsidRPr="00430F5C">
              <w:rPr>
                <w:rFonts w:ascii="Times New Roman" w:eastAsia="Times New Roman" w:hAnsi="Times New Roman"/>
                <w:szCs w:val="22"/>
                <w:highlight w:val="lightGray"/>
                <w:lang w:val="de-DE" w:eastAsia="en-US"/>
              </w:rPr>
              <w:t xml:space="preserve"> </w:t>
            </w:r>
            <w:r w:rsidR="0072615D" w:rsidRPr="0072615D">
              <w:rPr>
                <w:rFonts w:ascii="Times New Roman" w:eastAsia="Times New Roman" w:hAnsi="Times New Roman"/>
                <w:szCs w:val="22"/>
                <w:highlight w:val="lightGray"/>
                <w:lang w:val="de-DE" w:eastAsia="en-US"/>
              </w:rPr>
              <w:t xml:space="preserve">reserved for </w:t>
            </w:r>
            <w:r w:rsidR="006826BB">
              <w:rPr>
                <w:rFonts w:ascii="Times New Roman" w:eastAsia="Times New Roman" w:hAnsi="Times New Roman"/>
                <w:szCs w:val="22"/>
                <w:highlight w:val="lightGray"/>
                <w:lang w:val="de-DE" w:eastAsia="en-US"/>
              </w:rPr>
              <w:t>a</w:t>
            </w:r>
            <w:r w:rsidR="0072615D" w:rsidRPr="0072615D">
              <w:rPr>
                <w:rFonts w:ascii="Times New Roman" w:eastAsia="Times New Roman" w:hAnsi="Times New Roman"/>
                <w:szCs w:val="22"/>
                <w:highlight w:val="lightGray"/>
                <w:lang w:val="de-DE" w:eastAsia="en-US"/>
              </w:rPr>
              <w:t>ir-to-</w:t>
            </w:r>
            <w:r w:rsidR="006826BB">
              <w:rPr>
                <w:rFonts w:ascii="Times New Roman" w:eastAsia="Times New Roman" w:hAnsi="Times New Roman"/>
                <w:szCs w:val="22"/>
                <w:highlight w:val="lightGray"/>
                <w:lang w:val="de-DE" w:eastAsia="en-US"/>
              </w:rPr>
              <w:t>a</w:t>
            </w:r>
            <w:r w:rsidR="0072615D" w:rsidRPr="0072615D">
              <w:rPr>
                <w:rFonts w:ascii="Times New Roman" w:eastAsia="Times New Roman" w:hAnsi="Times New Roman"/>
                <w:szCs w:val="22"/>
                <w:highlight w:val="lightGray"/>
                <w:lang w:val="de-DE" w:eastAsia="en-US"/>
              </w:rPr>
              <w:t xml:space="preserve">ir General Aviation </w:t>
            </w:r>
            <w:r w:rsidR="006826BB">
              <w:rPr>
                <w:rFonts w:ascii="Times New Roman" w:eastAsia="Times New Roman" w:hAnsi="Times New Roman"/>
                <w:szCs w:val="22"/>
                <w:highlight w:val="lightGray"/>
                <w:lang w:val="de-DE" w:eastAsia="en-US"/>
              </w:rPr>
              <w:t xml:space="preserve"> </w:t>
            </w:r>
            <w:r w:rsidR="0072615D" w:rsidRPr="0072615D">
              <w:rPr>
                <w:rFonts w:ascii="Times New Roman" w:eastAsia="Times New Roman" w:hAnsi="Times New Roman"/>
                <w:szCs w:val="22"/>
                <w:highlight w:val="lightGray"/>
                <w:lang w:val="de-DE" w:eastAsia="en-US"/>
              </w:rPr>
              <w:t>communi</w:t>
            </w:r>
            <w:r w:rsidR="006826BB">
              <w:rPr>
                <w:rFonts w:ascii="Times New Roman" w:eastAsia="Times New Roman" w:hAnsi="Times New Roman"/>
                <w:szCs w:val="22"/>
                <w:highlight w:val="lightGray"/>
                <w:lang w:val="de-DE" w:eastAsia="en-US"/>
              </w:rPr>
              <w:t>-</w:t>
            </w:r>
            <w:r w:rsidR="0072615D" w:rsidRPr="0072615D">
              <w:rPr>
                <w:rFonts w:ascii="Times New Roman" w:eastAsia="Times New Roman" w:hAnsi="Times New Roman"/>
                <w:szCs w:val="22"/>
                <w:highlight w:val="lightGray"/>
                <w:lang w:val="de-DE" w:eastAsia="en-US"/>
              </w:rPr>
              <w:t xml:space="preserve">cations </w:t>
            </w:r>
          </w:p>
        </w:tc>
      </w:tr>
      <w:tr w:rsidR="0072615D" w:rsidRPr="0072615D" w14:paraId="3589131B" w14:textId="77777777" w:rsidTr="00645024">
        <w:trPr>
          <w:trHeight w:val="576"/>
        </w:trPr>
        <w:tc>
          <w:tcPr>
            <w:tcW w:w="1476" w:type="dxa"/>
          </w:tcPr>
          <w:p w14:paraId="59BAF578"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123.100</w:t>
            </w:r>
          </w:p>
        </w:tc>
        <w:tc>
          <w:tcPr>
            <w:tcW w:w="2132" w:type="dxa"/>
          </w:tcPr>
          <w:p w14:paraId="7467EDE2"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123.100</w:t>
            </w:r>
          </w:p>
        </w:tc>
        <w:tc>
          <w:tcPr>
            <w:tcW w:w="2322" w:type="dxa"/>
          </w:tcPr>
          <w:p w14:paraId="521DE984"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Auxiliary frequency SAR</w:t>
            </w:r>
          </w:p>
        </w:tc>
        <w:tc>
          <w:tcPr>
            <w:tcW w:w="3358" w:type="dxa"/>
          </w:tcPr>
          <w:p w14:paraId="609454E1" w14:textId="77777777" w:rsidR="0072615D" w:rsidRPr="0072615D" w:rsidRDefault="0072615D" w:rsidP="0072615D">
            <w:pPr>
              <w:jc w:val="both"/>
              <w:rPr>
                <w:rFonts w:ascii="Times New Roman" w:eastAsia="Times New Roman" w:hAnsi="Times New Roman"/>
                <w:szCs w:val="22"/>
                <w:lang w:val="de-DE" w:eastAsia="en-US"/>
              </w:rPr>
            </w:pPr>
          </w:p>
        </w:tc>
      </w:tr>
      <w:tr w:rsidR="0072615D" w:rsidRPr="0072615D" w14:paraId="14D1434D" w14:textId="77777777" w:rsidTr="00645024">
        <w:tc>
          <w:tcPr>
            <w:tcW w:w="1476" w:type="dxa"/>
          </w:tcPr>
          <w:p w14:paraId="66AEC4B4" w14:textId="77777777" w:rsidR="0072615D" w:rsidRPr="0072615D" w:rsidRDefault="0072615D" w:rsidP="0072615D">
            <w:pPr>
              <w:jc w:val="both"/>
              <w:rPr>
                <w:rFonts w:ascii="Times New Roman" w:eastAsia="Times New Roman" w:hAnsi="Times New Roman"/>
                <w:szCs w:val="22"/>
                <w:highlight w:val="lightGray"/>
                <w:lang w:val="de-DE" w:eastAsia="en-US"/>
              </w:rPr>
            </w:pPr>
            <w:r w:rsidRPr="0072615D">
              <w:rPr>
                <w:rFonts w:ascii="Times New Roman" w:eastAsia="Times New Roman" w:hAnsi="Times New Roman"/>
                <w:strike/>
                <w:szCs w:val="22"/>
                <w:lang w:val="de-DE" w:eastAsia="en-US"/>
              </w:rPr>
              <w:t xml:space="preserve">123.140 </w:t>
            </w:r>
            <w:r w:rsidRPr="0072615D">
              <w:rPr>
                <w:rFonts w:ascii="Times New Roman" w:eastAsia="Times New Roman" w:hAnsi="Times New Roman"/>
                <w:szCs w:val="22"/>
                <w:highlight w:val="lightGray"/>
                <w:lang w:val="de-DE" w:eastAsia="en-US"/>
              </w:rPr>
              <w:t>123.135</w:t>
            </w:r>
            <w:r w:rsidRPr="0072615D">
              <w:rPr>
                <w:rFonts w:ascii="Times New Roman" w:eastAsia="Times New Roman" w:hAnsi="Times New Roman"/>
                <w:szCs w:val="22"/>
                <w:lang w:val="de-DE" w:eastAsia="en-US"/>
              </w:rPr>
              <w:t xml:space="preserve"> – 136.490</w:t>
            </w:r>
          </w:p>
        </w:tc>
        <w:tc>
          <w:tcPr>
            <w:tcW w:w="2132" w:type="dxa"/>
          </w:tcPr>
          <w:p w14:paraId="59BD1BAF" w14:textId="77777777" w:rsidR="0072615D" w:rsidRPr="0072615D" w:rsidRDefault="0072615D" w:rsidP="0072615D">
            <w:pPr>
              <w:rPr>
                <w:rFonts w:ascii="Times New Roman" w:eastAsia="Times New Roman" w:hAnsi="Times New Roman"/>
                <w:szCs w:val="22"/>
                <w:lang w:val="de-DE" w:eastAsia="en-US"/>
              </w:rPr>
            </w:pPr>
            <w:r w:rsidRPr="0072615D">
              <w:rPr>
                <w:rFonts w:ascii="Times New Roman" w:eastAsia="Times New Roman" w:hAnsi="Times New Roman"/>
                <w:strike/>
                <w:szCs w:val="22"/>
                <w:lang w:val="de-DE" w:eastAsia="en-US"/>
              </w:rPr>
              <w:t>123.1417</w:t>
            </w:r>
            <w:r w:rsidRPr="0072615D">
              <w:rPr>
                <w:rFonts w:ascii="Times New Roman" w:eastAsia="Times New Roman" w:hAnsi="Times New Roman"/>
                <w:szCs w:val="22"/>
                <w:lang w:val="de-DE" w:eastAsia="en-US"/>
              </w:rPr>
              <w:t xml:space="preserve"> </w:t>
            </w:r>
            <w:r w:rsidRPr="0072615D">
              <w:rPr>
                <w:rFonts w:ascii="Times New Roman" w:eastAsia="Times New Roman" w:hAnsi="Times New Roman"/>
                <w:szCs w:val="22"/>
                <w:highlight w:val="lightGray"/>
                <w:lang w:val="de-DE" w:eastAsia="en-US"/>
              </w:rPr>
              <w:t>123.1333</w:t>
            </w:r>
            <w:r w:rsidRPr="0072615D">
              <w:rPr>
                <w:rFonts w:ascii="Times New Roman" w:eastAsia="Times New Roman" w:hAnsi="Times New Roman"/>
                <w:szCs w:val="22"/>
                <w:lang w:val="de-DE" w:eastAsia="en-US"/>
              </w:rPr>
              <w:t>- 136.4916 inclusive</w:t>
            </w:r>
          </w:p>
        </w:tc>
        <w:tc>
          <w:tcPr>
            <w:tcW w:w="2322" w:type="dxa"/>
          </w:tcPr>
          <w:p w14:paraId="46DBF0CD"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Aeronautical Mobile Services</w:t>
            </w:r>
          </w:p>
          <w:p w14:paraId="7EB1B558"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123.450 MHz reserved for air-to-air communications for flights over remote and oceanic areas out of range of VHF ground stations</w:t>
            </w:r>
          </w:p>
        </w:tc>
        <w:tc>
          <w:tcPr>
            <w:tcW w:w="3358" w:type="dxa"/>
          </w:tcPr>
          <w:p w14:paraId="0286FF1D" w14:textId="1A6FFD92" w:rsidR="0072615D" w:rsidRPr="0072615D" w:rsidRDefault="00391C3A" w:rsidP="0072615D">
            <w:pPr>
              <w:jc w:val="both"/>
              <w:rPr>
                <w:rFonts w:ascii="Times New Roman" w:eastAsia="Times New Roman" w:hAnsi="Times New Roman"/>
                <w:szCs w:val="22"/>
                <w:lang w:val="de-DE" w:eastAsia="en-US"/>
              </w:rPr>
            </w:pPr>
            <w:r>
              <w:rPr>
                <w:rFonts w:ascii="Times New Roman" w:eastAsia="Times New Roman" w:hAnsi="Times New Roman"/>
                <w:szCs w:val="22"/>
                <w:highlight w:val="lightGray"/>
                <w:lang w:val="de-DE" w:eastAsia="en-US"/>
              </w:rPr>
              <w:t>Channel</w:t>
            </w:r>
            <w:r w:rsidRPr="0072615D">
              <w:rPr>
                <w:rFonts w:ascii="Times New Roman" w:eastAsia="Times New Roman" w:hAnsi="Times New Roman"/>
                <w:szCs w:val="22"/>
                <w:highlight w:val="lightGray"/>
                <w:lang w:val="de-DE" w:eastAsia="en-US"/>
              </w:rPr>
              <w:t xml:space="preserve"> </w:t>
            </w:r>
            <w:r w:rsidR="0072615D" w:rsidRPr="0072615D">
              <w:rPr>
                <w:rFonts w:ascii="Times New Roman" w:eastAsia="Times New Roman" w:hAnsi="Times New Roman"/>
                <w:szCs w:val="22"/>
                <w:highlight w:val="lightGray"/>
                <w:lang w:val="de-DE" w:eastAsia="en-US"/>
              </w:rPr>
              <w:t>123.135</w:t>
            </w:r>
            <w:r w:rsidR="00A7153C">
              <w:rPr>
                <w:rFonts w:ascii="Times New Roman" w:eastAsia="Times New Roman" w:hAnsi="Times New Roman"/>
                <w:szCs w:val="22"/>
                <w:highlight w:val="lightGray"/>
                <w:lang w:val="de-DE" w:eastAsia="en-US"/>
              </w:rPr>
              <w:t xml:space="preserve"> </w:t>
            </w:r>
            <w:r w:rsidR="0072615D" w:rsidRPr="0072615D">
              <w:rPr>
                <w:rFonts w:ascii="Times New Roman" w:eastAsia="Times New Roman" w:hAnsi="Times New Roman"/>
                <w:szCs w:val="22"/>
                <w:highlight w:val="lightGray"/>
                <w:lang w:val="de-DE" w:eastAsia="en-US"/>
              </w:rPr>
              <w:t xml:space="preserve">reserved for </w:t>
            </w:r>
            <w:r w:rsidR="006826BB">
              <w:rPr>
                <w:rFonts w:ascii="Times New Roman" w:eastAsia="Times New Roman" w:hAnsi="Times New Roman"/>
                <w:szCs w:val="22"/>
                <w:highlight w:val="lightGray"/>
                <w:lang w:val="de-DE" w:eastAsia="en-US"/>
              </w:rPr>
              <w:t>a</w:t>
            </w:r>
            <w:r w:rsidR="0072615D" w:rsidRPr="0072615D">
              <w:rPr>
                <w:rFonts w:ascii="Times New Roman" w:eastAsia="Times New Roman" w:hAnsi="Times New Roman"/>
                <w:szCs w:val="22"/>
                <w:highlight w:val="lightGray"/>
                <w:lang w:val="de-DE" w:eastAsia="en-US"/>
              </w:rPr>
              <w:t>ir-to-</w:t>
            </w:r>
            <w:r w:rsidR="006826BB">
              <w:rPr>
                <w:rFonts w:ascii="Times New Roman" w:eastAsia="Times New Roman" w:hAnsi="Times New Roman"/>
                <w:szCs w:val="22"/>
                <w:highlight w:val="lightGray"/>
                <w:lang w:val="de-DE" w:eastAsia="en-US"/>
              </w:rPr>
              <w:t>a</w:t>
            </w:r>
            <w:r w:rsidR="0072615D" w:rsidRPr="0072615D">
              <w:rPr>
                <w:rFonts w:ascii="Times New Roman" w:eastAsia="Times New Roman" w:hAnsi="Times New Roman"/>
                <w:szCs w:val="22"/>
                <w:highlight w:val="lightGray"/>
                <w:lang w:val="de-DE" w:eastAsia="en-US"/>
              </w:rPr>
              <w:t>ir General Aviation communi</w:t>
            </w:r>
            <w:r w:rsidR="006826BB">
              <w:rPr>
                <w:rFonts w:ascii="Times New Roman" w:eastAsia="Times New Roman" w:hAnsi="Times New Roman"/>
                <w:szCs w:val="22"/>
                <w:highlight w:val="lightGray"/>
                <w:lang w:val="de-DE" w:eastAsia="en-US"/>
              </w:rPr>
              <w:t>-</w:t>
            </w:r>
            <w:r w:rsidR="0072615D" w:rsidRPr="0072615D">
              <w:rPr>
                <w:rFonts w:ascii="Times New Roman" w:eastAsia="Times New Roman" w:hAnsi="Times New Roman"/>
                <w:szCs w:val="22"/>
                <w:highlight w:val="lightGray"/>
                <w:lang w:val="de-DE" w:eastAsia="en-US"/>
              </w:rPr>
              <w:t>cations</w:t>
            </w:r>
          </w:p>
          <w:p w14:paraId="0FF59EAE"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123.300 MHz reserved as common channel to provide PAR services in a number of nations.</w:t>
            </w:r>
          </w:p>
          <w:p w14:paraId="5CD533F5"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123.450 MHz reserved for air-to-air communications only for flights over remote and oceanic areas out of range of VHF ground stations</w:t>
            </w:r>
          </w:p>
          <w:p w14:paraId="7A371811"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123.500 MHz reserved for regional light aviation</w:t>
            </w:r>
          </w:p>
          <w:p w14:paraId="2EA32AC1"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131.400 – 131.975 MHz  reserved for operational control (OPC) communications</w:t>
            </w:r>
            <w:r w:rsidRPr="0072615D">
              <w:rPr>
                <w:rFonts w:ascii="Times New Roman" w:eastAsia="Times New Roman" w:hAnsi="Times New Roman"/>
                <w:b/>
                <w:szCs w:val="22"/>
                <w:lang w:val="de-DE" w:eastAsia="en-US"/>
              </w:rPr>
              <w:t>*</w:t>
            </w:r>
          </w:p>
          <w:p w14:paraId="44ABFB37"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131.525, 131.725 and 131.825 reserved for ACARS data link</w:t>
            </w:r>
          </w:p>
        </w:tc>
      </w:tr>
      <w:tr w:rsidR="0072615D" w:rsidRPr="0072615D" w14:paraId="7D1274D0" w14:textId="77777777" w:rsidTr="00645024">
        <w:tc>
          <w:tcPr>
            <w:tcW w:w="1476" w:type="dxa"/>
          </w:tcPr>
          <w:p w14:paraId="3B0F9E0A"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136.500 – 136.675**</w:t>
            </w:r>
          </w:p>
        </w:tc>
        <w:tc>
          <w:tcPr>
            <w:tcW w:w="2132" w:type="dxa"/>
          </w:tcPr>
          <w:p w14:paraId="612EC0E5" w14:textId="77777777" w:rsidR="0072615D" w:rsidRPr="0072615D" w:rsidRDefault="0072615D" w:rsidP="0072615D">
            <w:pPr>
              <w:jc w:val="both"/>
              <w:rPr>
                <w:rFonts w:ascii="Times New Roman" w:eastAsia="Times New Roman" w:hAnsi="Times New Roman"/>
                <w:strike/>
                <w:szCs w:val="22"/>
                <w:lang w:val="de-DE" w:eastAsia="en-US"/>
              </w:rPr>
            </w:pPr>
            <w:r w:rsidRPr="0072615D">
              <w:rPr>
                <w:rFonts w:ascii="Times New Roman" w:eastAsia="Times New Roman" w:hAnsi="Times New Roman"/>
                <w:szCs w:val="22"/>
                <w:lang w:val="de-DE" w:eastAsia="en-US"/>
              </w:rPr>
              <w:t>136.500 - 136.675</w:t>
            </w:r>
          </w:p>
        </w:tc>
        <w:tc>
          <w:tcPr>
            <w:tcW w:w="2322" w:type="dxa"/>
          </w:tcPr>
          <w:p w14:paraId="59AAF42C"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Aeronautical Mobile Services</w:t>
            </w:r>
          </w:p>
        </w:tc>
        <w:tc>
          <w:tcPr>
            <w:tcW w:w="3358" w:type="dxa"/>
          </w:tcPr>
          <w:p w14:paraId="0E6613CE"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New assignments permitted only on a temporary basis.***</w:t>
            </w:r>
          </w:p>
        </w:tc>
      </w:tr>
      <w:tr w:rsidR="0072615D" w:rsidRPr="0072615D" w14:paraId="4103CF65" w14:textId="77777777" w:rsidTr="00645024">
        <w:tc>
          <w:tcPr>
            <w:tcW w:w="1476" w:type="dxa"/>
          </w:tcPr>
          <w:p w14:paraId="48184B7E" w14:textId="77777777" w:rsidR="0072615D" w:rsidRPr="0072615D" w:rsidRDefault="0072615D" w:rsidP="0072615D">
            <w:pPr>
              <w:jc w:val="both"/>
              <w:rPr>
                <w:rFonts w:ascii="Times New Roman" w:eastAsia="Times New Roman" w:hAnsi="Times New Roman"/>
                <w:szCs w:val="22"/>
                <w:highlight w:val="lightGray"/>
                <w:lang w:val="de-DE" w:eastAsia="en-US"/>
              </w:rPr>
            </w:pPr>
            <w:r w:rsidRPr="0072615D">
              <w:rPr>
                <w:rFonts w:ascii="Times New Roman" w:eastAsia="Times New Roman" w:hAnsi="Times New Roman"/>
                <w:szCs w:val="22"/>
                <w:lang w:val="de-DE" w:eastAsia="en-US"/>
              </w:rPr>
              <w:t>136.700 – 136.975</w:t>
            </w:r>
            <w:r w:rsidRPr="0072615D">
              <w:rPr>
                <w:rFonts w:ascii="Times New Roman" w:eastAsia="Times New Roman" w:hAnsi="Times New Roman"/>
                <w:b/>
                <w:szCs w:val="22"/>
                <w:lang w:val="de-DE" w:eastAsia="en-US"/>
              </w:rPr>
              <w:t>**</w:t>
            </w:r>
          </w:p>
        </w:tc>
        <w:tc>
          <w:tcPr>
            <w:tcW w:w="2132" w:type="dxa"/>
          </w:tcPr>
          <w:p w14:paraId="67150B65" w14:textId="77777777" w:rsidR="0072615D" w:rsidRPr="0072615D" w:rsidRDefault="0072615D" w:rsidP="0072615D">
            <w:pPr>
              <w:rPr>
                <w:rFonts w:ascii="Times New Roman" w:eastAsia="Times New Roman" w:hAnsi="Times New Roman"/>
                <w:strike/>
                <w:szCs w:val="22"/>
                <w:lang w:val="de-DE" w:eastAsia="en-US"/>
              </w:rPr>
            </w:pPr>
            <w:r w:rsidRPr="0072615D">
              <w:rPr>
                <w:rFonts w:ascii="Times New Roman" w:eastAsia="Times New Roman" w:hAnsi="Times New Roman"/>
                <w:szCs w:val="22"/>
                <w:lang w:val="de-DE" w:eastAsia="en-US"/>
              </w:rPr>
              <w:t>136.700 - 136.975 inclusive</w:t>
            </w:r>
          </w:p>
        </w:tc>
        <w:tc>
          <w:tcPr>
            <w:tcW w:w="2322" w:type="dxa"/>
          </w:tcPr>
          <w:p w14:paraId="2D630DBD"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Aeronautical Mobile Services</w:t>
            </w:r>
          </w:p>
          <w:p w14:paraId="4C12E2A7" w14:textId="77777777" w:rsidR="0072615D" w:rsidRPr="0072615D" w:rsidRDefault="0072615D" w:rsidP="0072615D">
            <w:pPr>
              <w:jc w:val="both"/>
              <w:rPr>
                <w:rFonts w:ascii="Times New Roman" w:eastAsia="Times New Roman" w:hAnsi="Times New Roman"/>
                <w:strike/>
                <w:szCs w:val="22"/>
                <w:lang w:val="de-DE" w:eastAsia="en-US"/>
              </w:rPr>
            </w:pPr>
            <w:r w:rsidRPr="0072615D">
              <w:rPr>
                <w:rFonts w:ascii="Times New Roman" w:eastAsia="Times New Roman" w:hAnsi="Times New Roman"/>
                <w:szCs w:val="22"/>
                <w:lang w:val="de-DE" w:eastAsia="en-US"/>
              </w:rPr>
              <w:t>136.900 - 136.975 MHz reserved for air-ground data link communications on a worldwide basis.</w:t>
            </w:r>
          </w:p>
        </w:tc>
        <w:tc>
          <w:tcPr>
            <w:tcW w:w="3358" w:type="dxa"/>
          </w:tcPr>
          <w:p w14:paraId="0B8DF617" w14:textId="77777777" w:rsidR="0072615D" w:rsidRPr="0072615D" w:rsidRDefault="0072615D" w:rsidP="0072615D">
            <w:pPr>
              <w:jc w:val="both"/>
              <w:rPr>
                <w:rFonts w:ascii="Times New Roman" w:eastAsia="Times New Roman" w:hAnsi="Times New Roman"/>
                <w:szCs w:val="22"/>
                <w:lang w:val="de-DE" w:eastAsia="en-US"/>
              </w:rPr>
            </w:pPr>
            <w:r w:rsidRPr="0072615D">
              <w:rPr>
                <w:rFonts w:ascii="Times New Roman" w:eastAsia="Times New Roman" w:hAnsi="Times New Roman"/>
                <w:szCs w:val="22"/>
                <w:lang w:val="de-DE" w:eastAsia="en-US"/>
              </w:rPr>
              <w:t>reserved for air-ground data link communications</w:t>
            </w:r>
          </w:p>
          <w:p w14:paraId="60268687" w14:textId="77777777" w:rsidR="0072615D" w:rsidRPr="0072615D" w:rsidRDefault="0072615D" w:rsidP="0072615D">
            <w:pPr>
              <w:jc w:val="both"/>
              <w:rPr>
                <w:rFonts w:ascii="Times New Roman" w:eastAsia="Times New Roman" w:hAnsi="Times New Roman"/>
                <w:strike/>
                <w:szCs w:val="22"/>
                <w:lang w:val="de-DE" w:eastAsia="en-US"/>
              </w:rPr>
            </w:pPr>
            <w:r w:rsidRPr="0072615D">
              <w:rPr>
                <w:rFonts w:ascii="Times New Roman" w:eastAsia="Times New Roman" w:hAnsi="Times New Roman"/>
                <w:szCs w:val="22"/>
                <w:lang w:val="de-DE" w:eastAsia="en-US"/>
              </w:rPr>
              <w:t>(see paragraph 2.2.)</w:t>
            </w:r>
          </w:p>
        </w:tc>
      </w:tr>
    </w:tbl>
    <w:p w14:paraId="6346FD9B" w14:textId="77777777" w:rsidR="0072615D" w:rsidRPr="0072615D" w:rsidRDefault="0072615D" w:rsidP="0072615D">
      <w:pPr>
        <w:autoSpaceDE w:val="0"/>
        <w:autoSpaceDN w:val="0"/>
        <w:adjustRightInd w:val="0"/>
        <w:rPr>
          <w:rFonts w:ascii="TimesNewRomanPSMT" w:eastAsia="Times New Roman" w:hAnsi="TimesNewRomanPSMT"/>
          <w:sz w:val="16"/>
          <w:szCs w:val="16"/>
          <w:lang w:eastAsia="de-DE"/>
        </w:rPr>
      </w:pPr>
      <w:r w:rsidRPr="0072615D">
        <w:rPr>
          <w:rFonts w:ascii="TimesNewRomanPSMT" w:eastAsia="Times New Roman" w:hAnsi="TimesNewRomanPSMT"/>
          <w:sz w:val="16"/>
          <w:szCs w:val="16"/>
          <w:lang w:eastAsia="de-DE"/>
        </w:rPr>
        <w:lastRenderedPageBreak/>
        <w:t>Guard bands:</w:t>
      </w:r>
    </w:p>
    <w:p w14:paraId="357C0A1C" w14:textId="77777777" w:rsidR="0072615D" w:rsidRPr="0072615D" w:rsidRDefault="0072615D" w:rsidP="0072615D">
      <w:pPr>
        <w:autoSpaceDE w:val="0"/>
        <w:autoSpaceDN w:val="0"/>
        <w:adjustRightInd w:val="0"/>
        <w:rPr>
          <w:rFonts w:ascii="TimesNewRomanPSMT" w:eastAsia="Times New Roman" w:hAnsi="TimesNewRomanPSMT"/>
          <w:sz w:val="16"/>
          <w:szCs w:val="16"/>
          <w:lang w:eastAsia="de-DE"/>
        </w:rPr>
      </w:pPr>
      <w:r w:rsidRPr="0072615D">
        <w:rPr>
          <w:rFonts w:ascii="TimesNewRomanPSMT" w:eastAsia="Times New Roman" w:hAnsi="TimesNewRomanPSMT"/>
          <w:sz w:val="16"/>
          <w:szCs w:val="16"/>
          <w:lang w:eastAsia="de-DE"/>
        </w:rPr>
        <w:t>For 121.500: Channels 121.475, and 121.525, are not assignable; and</w:t>
      </w:r>
    </w:p>
    <w:p w14:paraId="729CB61A" w14:textId="77777777" w:rsidR="0072615D" w:rsidRPr="0072615D" w:rsidRDefault="0072615D" w:rsidP="0072615D">
      <w:pPr>
        <w:autoSpaceDE w:val="0"/>
        <w:autoSpaceDN w:val="0"/>
        <w:adjustRightInd w:val="0"/>
        <w:rPr>
          <w:rFonts w:ascii="TimesNewRomanPSMT" w:eastAsia="Times New Roman" w:hAnsi="TimesNewRomanPSMT"/>
          <w:sz w:val="16"/>
          <w:szCs w:val="16"/>
          <w:lang w:eastAsia="de-DE"/>
        </w:rPr>
      </w:pPr>
      <w:r w:rsidRPr="0072615D">
        <w:rPr>
          <w:rFonts w:ascii="TimesNewRomanPSMT" w:eastAsia="Times New Roman" w:hAnsi="TimesNewRomanPSMT"/>
          <w:sz w:val="16"/>
          <w:szCs w:val="16"/>
          <w:lang w:eastAsia="de-DE"/>
        </w:rPr>
        <w:t xml:space="preserve">For 123.100: Channels </w:t>
      </w:r>
      <w:r w:rsidRPr="0072615D">
        <w:rPr>
          <w:rFonts w:ascii="TimesNewRomanPSMT" w:eastAsia="Times New Roman" w:hAnsi="TimesNewRomanPSMT"/>
          <w:strike/>
          <w:sz w:val="16"/>
          <w:szCs w:val="16"/>
          <w:lang w:eastAsia="de-DE"/>
        </w:rPr>
        <w:t>123.065</w:t>
      </w:r>
      <w:r w:rsidRPr="0072615D">
        <w:rPr>
          <w:rFonts w:ascii="TimesNewRomanPSMT" w:eastAsia="Times New Roman" w:hAnsi="TimesNewRomanPSMT"/>
          <w:sz w:val="16"/>
          <w:szCs w:val="16"/>
          <w:lang w:eastAsia="de-DE"/>
        </w:rPr>
        <w:t xml:space="preserve">, 123.075, 123.080, 123.085, 123.115, 123.125 </w:t>
      </w:r>
      <w:r w:rsidRPr="0072615D">
        <w:rPr>
          <w:rFonts w:ascii="TimesNewRomanPSMT" w:eastAsia="Times New Roman" w:hAnsi="TimesNewRomanPSMT"/>
          <w:sz w:val="16"/>
          <w:szCs w:val="16"/>
          <w:highlight w:val="lightGray"/>
          <w:lang w:eastAsia="de-DE"/>
        </w:rPr>
        <w:t>and</w:t>
      </w:r>
      <w:r w:rsidRPr="0072615D">
        <w:rPr>
          <w:rFonts w:ascii="TimesNewRomanPSMT" w:eastAsia="Times New Roman" w:hAnsi="TimesNewRomanPSMT"/>
          <w:sz w:val="16"/>
          <w:szCs w:val="16"/>
          <w:lang w:eastAsia="de-DE"/>
        </w:rPr>
        <w:t xml:space="preserve"> 123.130</w:t>
      </w:r>
      <w:r w:rsidRPr="0072615D">
        <w:rPr>
          <w:rFonts w:ascii="TimesNewRomanPSMT" w:eastAsia="Times New Roman" w:hAnsi="TimesNewRomanPSMT"/>
          <w:strike/>
          <w:sz w:val="16"/>
          <w:szCs w:val="16"/>
          <w:lang w:eastAsia="de-DE"/>
        </w:rPr>
        <w:t>, and 123.135</w:t>
      </w:r>
      <w:r w:rsidRPr="0072615D">
        <w:rPr>
          <w:rFonts w:ascii="TimesNewRomanPSMT" w:eastAsia="Times New Roman" w:hAnsi="TimesNewRomanPSMT"/>
          <w:sz w:val="16"/>
          <w:szCs w:val="16"/>
          <w:lang w:eastAsia="de-DE"/>
        </w:rPr>
        <w:t xml:space="preserve"> are not assignable, except for ATIS on channels 123.080 and 123.130.</w:t>
      </w:r>
    </w:p>
    <w:p w14:paraId="0102ECCC" w14:textId="77777777" w:rsidR="0072615D" w:rsidRPr="0072615D" w:rsidRDefault="0072615D" w:rsidP="0072615D">
      <w:pPr>
        <w:autoSpaceDE w:val="0"/>
        <w:autoSpaceDN w:val="0"/>
        <w:adjustRightInd w:val="0"/>
        <w:rPr>
          <w:rFonts w:ascii="TimesNewRomanPSMT" w:eastAsia="Times New Roman" w:hAnsi="TimesNewRomanPSMT"/>
          <w:sz w:val="16"/>
          <w:szCs w:val="16"/>
          <w:lang w:eastAsia="de-DE"/>
        </w:rPr>
      </w:pPr>
    </w:p>
    <w:p w14:paraId="68431092" w14:textId="77777777" w:rsidR="0072615D" w:rsidRPr="0072615D" w:rsidRDefault="0072615D" w:rsidP="0072615D">
      <w:pPr>
        <w:autoSpaceDE w:val="0"/>
        <w:autoSpaceDN w:val="0"/>
        <w:adjustRightInd w:val="0"/>
        <w:ind w:left="720" w:hanging="720"/>
        <w:jc w:val="both"/>
        <w:rPr>
          <w:rFonts w:ascii="Times New Roman" w:eastAsia="Times New Roman" w:hAnsi="Times New Roman"/>
          <w:noProof/>
          <w:sz w:val="16"/>
          <w:szCs w:val="16"/>
          <w:lang w:val="de-DE" w:eastAsia="de-DE"/>
        </w:rPr>
      </w:pPr>
      <w:r w:rsidRPr="0072615D">
        <w:rPr>
          <w:rFonts w:ascii="TimesNewRomanPSMT" w:eastAsia="Times New Roman" w:hAnsi="TimesNewRomanPSMT"/>
          <w:sz w:val="16"/>
          <w:szCs w:val="16"/>
          <w:lang w:eastAsia="de-DE"/>
        </w:rPr>
        <w:t>*OPC:</w:t>
      </w:r>
      <w:r w:rsidRPr="0072615D">
        <w:rPr>
          <w:rFonts w:ascii="TimesNewRomanPSMT" w:eastAsia="Times New Roman" w:hAnsi="TimesNewRomanPSMT"/>
          <w:sz w:val="16"/>
          <w:szCs w:val="16"/>
          <w:lang w:eastAsia="de-DE"/>
        </w:rPr>
        <w:tab/>
      </w:r>
      <w:r w:rsidRPr="0072615D">
        <w:rPr>
          <w:rFonts w:ascii="Times New Roman" w:eastAsia="Times New Roman" w:hAnsi="Times New Roman"/>
          <w:sz w:val="16"/>
          <w:szCs w:val="16"/>
          <w:lang w:eastAsia="de-DE"/>
        </w:rPr>
        <w:t xml:space="preserve">Assignments used for OPC purposes shall not be </w:t>
      </w:r>
      <w:proofErr w:type="spellStart"/>
      <w:r w:rsidRPr="0072615D">
        <w:rPr>
          <w:rFonts w:ascii="Times New Roman" w:eastAsia="Times New Roman" w:hAnsi="Times New Roman"/>
          <w:sz w:val="16"/>
          <w:szCs w:val="16"/>
          <w:lang w:eastAsia="de-DE"/>
        </w:rPr>
        <w:t>co-ordinated</w:t>
      </w:r>
      <w:proofErr w:type="spellEnd"/>
      <w:r w:rsidRPr="0072615D">
        <w:rPr>
          <w:rFonts w:ascii="Times New Roman" w:eastAsia="Times New Roman" w:hAnsi="Times New Roman"/>
          <w:sz w:val="16"/>
          <w:szCs w:val="16"/>
          <w:lang w:eastAsia="de-DE"/>
        </w:rPr>
        <w:t xml:space="preserve"> on protected standard channels. </w:t>
      </w:r>
      <w:r w:rsidRPr="0072615D">
        <w:rPr>
          <w:rFonts w:ascii="Times New Roman" w:eastAsia="Times New Roman" w:hAnsi="Times New Roman"/>
          <w:noProof/>
          <w:sz w:val="16"/>
          <w:szCs w:val="16"/>
          <w:lang w:val="de-DE" w:eastAsia="de-DE"/>
        </w:rPr>
        <w:t>8.33 kHz channel spacing to be used wherever possible, between 131.405 – 131.980 except for the ACARS channels 131.525, 131.725 and 131.825. The use of voice at the first adjacent 8,33 kHz channel to ACARS is not possible. Care should be taken when considering the use of the second adjacent channel at 16,67 kHz from the ACARS.</w:t>
      </w:r>
    </w:p>
    <w:p w14:paraId="6FDF8F4C" w14:textId="77777777" w:rsidR="0072615D" w:rsidRPr="0072615D" w:rsidRDefault="0072615D" w:rsidP="0072615D">
      <w:pPr>
        <w:ind w:left="709"/>
        <w:rPr>
          <w:rFonts w:ascii="Times New Roman" w:eastAsia="Times New Roman" w:hAnsi="Times New Roman"/>
          <w:sz w:val="24"/>
          <w:szCs w:val="24"/>
          <w:highlight w:val="lightGray"/>
          <w:lang w:val="de-DE" w:eastAsia="en-US"/>
        </w:rPr>
      </w:pPr>
      <w:r w:rsidRPr="0072615D">
        <w:rPr>
          <w:rFonts w:ascii="Times New Roman" w:eastAsia="Times New Roman" w:hAnsi="Times New Roman"/>
          <w:sz w:val="16"/>
          <w:szCs w:val="16"/>
          <w:lang w:eastAsia="de-DE"/>
        </w:rPr>
        <w:t>Unprotected assignments within this band can accommodate services other than OPC, where local planning conditions permit.</w:t>
      </w:r>
    </w:p>
    <w:p w14:paraId="6E894F3E" w14:textId="77777777" w:rsidR="0072615D" w:rsidRPr="0072615D" w:rsidRDefault="0072615D" w:rsidP="0072615D">
      <w:pPr>
        <w:autoSpaceDE w:val="0"/>
        <w:autoSpaceDN w:val="0"/>
        <w:adjustRightInd w:val="0"/>
        <w:ind w:left="720" w:hanging="720"/>
        <w:jc w:val="both"/>
        <w:rPr>
          <w:rFonts w:ascii="Times New Roman" w:eastAsia="Times New Roman" w:hAnsi="Times New Roman"/>
          <w:noProof/>
          <w:sz w:val="16"/>
          <w:szCs w:val="16"/>
          <w:lang w:val="de-DE" w:eastAsia="de-DE"/>
        </w:rPr>
      </w:pPr>
    </w:p>
    <w:p w14:paraId="24B1E873" w14:textId="77777777" w:rsidR="0072615D" w:rsidRPr="0072615D" w:rsidRDefault="0072615D" w:rsidP="0072615D">
      <w:pPr>
        <w:ind w:left="720"/>
        <w:jc w:val="both"/>
        <w:rPr>
          <w:rFonts w:ascii="Times New Roman" w:eastAsia="Times New Roman" w:hAnsi="Times New Roman"/>
          <w:noProof/>
          <w:sz w:val="16"/>
          <w:szCs w:val="16"/>
          <w:lang w:eastAsia="de-DE"/>
        </w:rPr>
      </w:pPr>
      <w:r w:rsidRPr="0072615D">
        <w:rPr>
          <w:rFonts w:ascii="Times New Roman" w:eastAsia="Times New Roman" w:hAnsi="Times New Roman"/>
          <w:noProof/>
          <w:sz w:val="16"/>
          <w:szCs w:val="16"/>
          <w:lang w:eastAsia="de-DE"/>
        </w:rPr>
        <w:t>Concerning the use for ATS purposes of the lower adjacent frequencies to 131.400 and the upper adjacent frequencies to 131.975, care should be exercised for the observance of adjacent channel compatibility</w:t>
      </w:r>
      <w:r w:rsidRPr="0072615D">
        <w:rPr>
          <w:rFonts w:ascii="Times New Roman" w:eastAsia="Times New Roman" w:hAnsi="Times New Roman"/>
          <w:noProof/>
          <w:sz w:val="16"/>
          <w:szCs w:val="16"/>
          <w:lang w:val="de-DE" w:eastAsia="de-DE"/>
        </w:rPr>
        <w:t xml:space="preserve"> require</w:t>
      </w:r>
      <w:r w:rsidRPr="0072615D">
        <w:rPr>
          <w:rFonts w:ascii="Times New Roman" w:eastAsia="Times New Roman" w:hAnsi="Times New Roman"/>
          <w:noProof/>
          <w:sz w:val="16"/>
          <w:szCs w:val="16"/>
          <w:lang w:eastAsia="de-DE"/>
        </w:rPr>
        <w:t xml:space="preserve">ments. </w:t>
      </w:r>
      <w:r w:rsidRPr="0072615D">
        <w:rPr>
          <w:rFonts w:ascii="Times New Roman" w:eastAsia="Times New Roman" w:hAnsi="Times New Roman"/>
          <w:noProof/>
          <w:sz w:val="16"/>
          <w:szCs w:val="16"/>
          <w:lang w:val="de-DE" w:eastAsia="de-DE"/>
        </w:rPr>
        <w:t xml:space="preserve"> </w:t>
      </w:r>
    </w:p>
    <w:p w14:paraId="582F3F0B" w14:textId="77777777" w:rsidR="0072615D" w:rsidRPr="0072615D" w:rsidRDefault="0072615D" w:rsidP="0072615D">
      <w:pPr>
        <w:autoSpaceDE w:val="0"/>
        <w:autoSpaceDN w:val="0"/>
        <w:adjustRightInd w:val="0"/>
        <w:rPr>
          <w:rFonts w:ascii="TimesNewRomanPSMT" w:eastAsia="Times New Roman" w:hAnsi="TimesNewRomanPSMT"/>
          <w:sz w:val="16"/>
          <w:szCs w:val="16"/>
          <w:lang w:eastAsia="de-DE"/>
        </w:rPr>
      </w:pPr>
    </w:p>
    <w:p w14:paraId="27927CD6" w14:textId="77777777" w:rsidR="0072615D" w:rsidRPr="0072615D" w:rsidRDefault="0072615D" w:rsidP="0072615D">
      <w:pPr>
        <w:autoSpaceDE w:val="0"/>
        <w:autoSpaceDN w:val="0"/>
        <w:adjustRightInd w:val="0"/>
        <w:rPr>
          <w:rFonts w:ascii="Times New Roman" w:eastAsia="Times New Roman" w:hAnsi="Times New Roman"/>
          <w:sz w:val="16"/>
          <w:szCs w:val="16"/>
          <w:lang w:eastAsia="de-DE"/>
        </w:rPr>
      </w:pPr>
      <w:r w:rsidRPr="0072615D">
        <w:rPr>
          <w:rFonts w:ascii="Times New Roman" w:eastAsia="Times New Roman" w:hAnsi="Times New Roman"/>
          <w:sz w:val="16"/>
          <w:szCs w:val="16"/>
          <w:lang w:eastAsia="de-DE"/>
        </w:rPr>
        <w:t>**Note:</w:t>
      </w:r>
      <w:r w:rsidRPr="0072615D">
        <w:rPr>
          <w:rFonts w:ascii="Times New Roman" w:eastAsia="Times New Roman" w:hAnsi="Times New Roman"/>
          <w:sz w:val="16"/>
          <w:szCs w:val="16"/>
          <w:lang w:eastAsia="de-DE"/>
        </w:rPr>
        <w:tab/>
        <w:t xml:space="preserve">8.33 kHz channel spacing is not to be used for frequencies 136.500 – 136.975 MHz inclusive (Annex 10, Volume V, </w:t>
      </w:r>
    </w:p>
    <w:p w14:paraId="39CBF08A" w14:textId="77777777" w:rsidR="0072615D" w:rsidRPr="0072615D" w:rsidRDefault="0072615D" w:rsidP="0072615D">
      <w:pPr>
        <w:autoSpaceDE w:val="0"/>
        <w:autoSpaceDN w:val="0"/>
        <w:adjustRightInd w:val="0"/>
        <w:ind w:firstLine="720"/>
        <w:rPr>
          <w:rFonts w:ascii="Times New Roman" w:eastAsia="Times New Roman" w:hAnsi="Times New Roman"/>
          <w:sz w:val="16"/>
          <w:szCs w:val="16"/>
          <w:lang w:eastAsia="de-DE"/>
        </w:rPr>
      </w:pPr>
      <w:r w:rsidRPr="0072615D">
        <w:rPr>
          <w:rFonts w:ascii="Times New Roman" w:eastAsia="Times New Roman" w:hAnsi="Times New Roman"/>
          <w:sz w:val="16"/>
          <w:szCs w:val="16"/>
          <w:lang w:eastAsia="de-DE"/>
        </w:rPr>
        <w:t>paragraph 4.1.6.1.1).</w:t>
      </w:r>
    </w:p>
    <w:p w14:paraId="5FD7ACF5" w14:textId="77777777" w:rsidR="0072615D" w:rsidRPr="0072615D" w:rsidRDefault="0072615D" w:rsidP="0072615D">
      <w:pPr>
        <w:autoSpaceDE w:val="0"/>
        <w:autoSpaceDN w:val="0"/>
        <w:adjustRightInd w:val="0"/>
        <w:rPr>
          <w:rFonts w:ascii="Times New Roman" w:eastAsia="Times New Roman" w:hAnsi="Times New Roman"/>
          <w:sz w:val="16"/>
          <w:szCs w:val="16"/>
          <w:lang w:eastAsia="de-DE"/>
        </w:rPr>
      </w:pPr>
    </w:p>
    <w:p w14:paraId="70131023" w14:textId="77777777" w:rsidR="0072615D" w:rsidRPr="0072615D" w:rsidRDefault="0072615D" w:rsidP="0072615D">
      <w:pPr>
        <w:widowControl w:val="0"/>
        <w:autoSpaceDE w:val="0"/>
        <w:autoSpaceDN w:val="0"/>
        <w:adjustRightInd w:val="0"/>
        <w:ind w:left="709" w:hanging="709"/>
        <w:rPr>
          <w:rFonts w:ascii="Times New Roman" w:eastAsia="Times New Roman" w:hAnsi="Times New Roman"/>
          <w:color w:val="000000"/>
          <w:sz w:val="16"/>
          <w:szCs w:val="16"/>
          <w:lang w:eastAsia="en-US"/>
        </w:rPr>
      </w:pPr>
      <w:r w:rsidRPr="0072615D">
        <w:rPr>
          <w:rFonts w:ascii="Times New Roman" w:eastAsia="Times New Roman" w:hAnsi="Times New Roman"/>
          <w:color w:val="000000"/>
          <w:sz w:val="16"/>
          <w:szCs w:val="16"/>
          <w:lang w:eastAsia="de-DE"/>
        </w:rPr>
        <w:t>***Note:</w:t>
      </w:r>
      <w:r w:rsidRPr="0072615D">
        <w:rPr>
          <w:rFonts w:ascii="Times New Roman" w:eastAsia="Times New Roman" w:hAnsi="Times New Roman"/>
          <w:color w:val="000000"/>
          <w:sz w:val="16"/>
          <w:szCs w:val="16"/>
          <w:lang w:eastAsia="de-DE"/>
        </w:rPr>
        <w:tab/>
      </w:r>
      <w:r w:rsidRPr="0072615D">
        <w:rPr>
          <w:rFonts w:ascii="Times New Roman" w:eastAsia="Times New Roman" w:hAnsi="Times New Roman"/>
          <w:color w:val="000000"/>
          <w:sz w:val="16"/>
          <w:szCs w:val="16"/>
          <w:highlight w:val="lightGray"/>
          <w:lang w:eastAsia="de-DE"/>
        </w:rPr>
        <w:t>The</w:t>
      </w:r>
      <w:r w:rsidRPr="0072615D">
        <w:rPr>
          <w:rFonts w:ascii="Times New Roman" w:eastAsia="Times New Roman" w:hAnsi="Times New Roman"/>
          <w:color w:val="000000"/>
          <w:sz w:val="16"/>
          <w:szCs w:val="16"/>
          <w:lang w:eastAsia="de-DE"/>
        </w:rPr>
        <w:t xml:space="preserve"> </w:t>
      </w:r>
      <w:proofErr w:type="spellStart"/>
      <w:r w:rsidRPr="0072615D">
        <w:rPr>
          <w:rFonts w:ascii="Times New Roman" w:eastAsia="Times New Roman" w:hAnsi="Times New Roman"/>
          <w:strike/>
          <w:color w:val="000000"/>
          <w:sz w:val="16"/>
          <w:szCs w:val="16"/>
          <w:lang w:eastAsia="en-US"/>
        </w:rPr>
        <w:t>the</w:t>
      </w:r>
      <w:proofErr w:type="spellEnd"/>
      <w:r w:rsidRPr="0072615D">
        <w:rPr>
          <w:rFonts w:ascii="Times New Roman" w:eastAsia="Times New Roman" w:hAnsi="Times New Roman"/>
          <w:color w:val="000000"/>
          <w:sz w:val="16"/>
          <w:szCs w:val="16"/>
          <w:lang w:eastAsia="en-US"/>
        </w:rPr>
        <w:t xml:space="preserve"> temporary allotment of the frequency 136.675 MHz for VDL 2 is extended until 31 December 2027 as coordinated with FMG members during FMG29 (EASPG Decision 5/18 refers):</w:t>
      </w:r>
    </w:p>
    <w:p w14:paraId="265F0674" w14:textId="77777777" w:rsidR="0072615D" w:rsidRPr="0072615D" w:rsidRDefault="0072615D" w:rsidP="0072615D">
      <w:pPr>
        <w:numPr>
          <w:ilvl w:val="0"/>
          <w:numId w:val="26"/>
        </w:numPr>
        <w:autoSpaceDE w:val="0"/>
        <w:autoSpaceDN w:val="0"/>
        <w:adjustRightInd w:val="0"/>
        <w:jc w:val="both"/>
        <w:rPr>
          <w:rFonts w:ascii="Times New Roman" w:eastAsia="Times New Roman" w:hAnsi="Times New Roman"/>
          <w:color w:val="000000"/>
          <w:sz w:val="16"/>
          <w:szCs w:val="16"/>
          <w:lang w:eastAsia="en-US"/>
        </w:rPr>
      </w:pPr>
      <w:r w:rsidRPr="0072615D">
        <w:rPr>
          <w:rFonts w:ascii="Times New Roman" w:eastAsia="Times New Roman" w:hAnsi="Times New Roman"/>
          <w:i/>
          <w:iCs/>
          <w:color w:val="000000"/>
          <w:sz w:val="16"/>
          <w:szCs w:val="16"/>
          <w:lang w:eastAsia="en-US"/>
        </w:rPr>
        <w:t xml:space="preserve">with reference to the EASPG Conclusion 3/13, the temporary reservation of channels 136.650 and 136.675 for VDL Mode 2 services be removed by end of 2027. </w:t>
      </w:r>
    </w:p>
    <w:p w14:paraId="26874DCF" w14:textId="77777777" w:rsidR="0072615D" w:rsidRPr="0072615D" w:rsidRDefault="0072615D" w:rsidP="0072615D">
      <w:pPr>
        <w:numPr>
          <w:ilvl w:val="0"/>
          <w:numId w:val="26"/>
        </w:numPr>
        <w:autoSpaceDE w:val="0"/>
        <w:autoSpaceDN w:val="0"/>
        <w:adjustRightInd w:val="0"/>
        <w:jc w:val="both"/>
        <w:rPr>
          <w:rFonts w:ascii="Times New Roman" w:eastAsia="Times New Roman" w:hAnsi="Times New Roman"/>
          <w:color w:val="000000"/>
          <w:sz w:val="16"/>
          <w:szCs w:val="16"/>
          <w:lang w:eastAsia="en-US"/>
        </w:rPr>
      </w:pPr>
      <w:r w:rsidRPr="0072615D">
        <w:rPr>
          <w:rFonts w:ascii="Times New Roman" w:eastAsia="Times New Roman" w:hAnsi="Times New Roman"/>
          <w:i/>
          <w:iCs/>
          <w:color w:val="000000"/>
          <w:sz w:val="16"/>
          <w:szCs w:val="16"/>
          <w:lang w:eastAsia="en-US"/>
        </w:rPr>
        <w:t xml:space="preserve">until the end of 2027, no proposals for frequency assignments on channels 136.650 and 136.675 for voice communication services should be admitted and that such proposals on a temporary basis be readmitted as of 1 January 2028. </w:t>
      </w:r>
    </w:p>
    <w:p w14:paraId="2FC0C47C" w14:textId="77777777" w:rsidR="0072615D" w:rsidRPr="0072615D" w:rsidRDefault="0072615D" w:rsidP="0072615D">
      <w:pPr>
        <w:numPr>
          <w:ilvl w:val="0"/>
          <w:numId w:val="26"/>
        </w:numPr>
        <w:autoSpaceDE w:val="0"/>
        <w:autoSpaceDN w:val="0"/>
        <w:adjustRightInd w:val="0"/>
        <w:jc w:val="both"/>
        <w:rPr>
          <w:rFonts w:ascii="Times New Roman" w:eastAsia="Times New Roman" w:hAnsi="Times New Roman"/>
          <w:sz w:val="16"/>
          <w:szCs w:val="16"/>
          <w:lang w:eastAsia="de-DE"/>
        </w:rPr>
      </w:pPr>
      <w:r w:rsidRPr="0072615D">
        <w:rPr>
          <w:rFonts w:ascii="Times New Roman" w:eastAsia="Times New Roman" w:hAnsi="Times New Roman"/>
          <w:i/>
          <w:iCs/>
          <w:color w:val="000000"/>
          <w:sz w:val="16"/>
          <w:szCs w:val="16"/>
          <w:lang w:eastAsia="en-US"/>
        </w:rPr>
        <w:t>channel 136.650 until the end of 2027 serves as guard channel. The possibility of allotting channel 136.650 to voice communication services prior to the end of 2027 is under consideration.</w:t>
      </w:r>
    </w:p>
    <w:p w14:paraId="208F002D" w14:textId="509946C7" w:rsidR="007F7C4E" w:rsidRDefault="007F7C4E" w:rsidP="00AD11AF"/>
    <w:p w14:paraId="12232CA2" w14:textId="77777777" w:rsidR="00157FE4" w:rsidRDefault="00157FE4" w:rsidP="00AD11AF"/>
    <w:p w14:paraId="00EB4198" w14:textId="54E6CABC" w:rsidR="00157FE4" w:rsidRDefault="00157FE4" w:rsidP="00157FE4">
      <w:pPr>
        <w:jc w:val="center"/>
      </w:pPr>
      <w:r>
        <w:t>-----------------------------</w:t>
      </w:r>
    </w:p>
    <w:sectPr w:rsidR="00157FE4" w:rsidSect="007E1BBE">
      <w:headerReference w:type="default" r:id="rId8"/>
      <w:footerReference w:type="even" r:id="rId9"/>
      <w:footerReference w:type="default" r:id="rId10"/>
      <w:type w:val="continuous"/>
      <w:pgSz w:w="11907" w:h="16840" w:code="9"/>
      <w:pgMar w:top="1134" w:right="1134" w:bottom="1134" w:left="1134" w:header="567" w:footer="284" w:gutter="0"/>
      <w:cols w:space="24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76F87" w14:textId="77777777" w:rsidR="00310E64" w:rsidRDefault="00310E64">
      <w:r>
        <w:separator/>
      </w:r>
    </w:p>
  </w:endnote>
  <w:endnote w:type="continuationSeparator" w:id="0">
    <w:p w14:paraId="01C2AAF4" w14:textId="77777777" w:rsidR="00310E64" w:rsidRDefault="0031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TimesNewRomanPSMT">
    <w:altName w:val="Yu Gothic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0D3F7" w14:textId="77777777" w:rsidR="00E358BA" w:rsidRDefault="00E358B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50938F" w14:textId="77777777" w:rsidR="00E358BA" w:rsidRDefault="00E358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D27A3" w14:textId="2C7281A4" w:rsidR="00E358BA" w:rsidRPr="000E13DB" w:rsidRDefault="00E358BA" w:rsidP="000E13DB">
    <w:pPr>
      <w:pStyle w:val="Footer"/>
      <w:pBdr>
        <w:top w:val="single" w:sz="4" w:space="1" w:color="auto"/>
      </w:pBdr>
      <w:tabs>
        <w:tab w:val="clear" w:pos="4320"/>
        <w:tab w:val="center" w:pos="4678"/>
      </w:tabs>
      <w:spacing w:before="120"/>
      <w:rPr>
        <w:rFonts w:ascii="Times New Roman" w:hAnsi="Times New Roman"/>
        <w:sz w:val="20"/>
      </w:rPr>
    </w:pPr>
    <w:r w:rsidRPr="000E13DB">
      <w:rPr>
        <w:noProof/>
        <w:sz w:val="20"/>
      </w:rPr>
      <w:tab/>
      <w:t>–</w:t>
    </w:r>
    <w:r w:rsidRPr="000E13DB">
      <w:rPr>
        <w:rFonts w:ascii="Times New Roman" w:hAnsi="Times New Roman"/>
        <w:sz w:val="20"/>
      </w:rPr>
      <w:fldChar w:fldCharType="begin"/>
    </w:r>
    <w:r w:rsidRPr="000E13DB">
      <w:rPr>
        <w:rFonts w:ascii="Times New Roman" w:hAnsi="Times New Roman"/>
        <w:sz w:val="20"/>
      </w:rPr>
      <w:instrText xml:space="preserve"> PAGE   \* MERGEFORMAT </w:instrText>
    </w:r>
    <w:r w:rsidRPr="000E13DB">
      <w:rPr>
        <w:rFonts w:ascii="Times New Roman" w:hAnsi="Times New Roman"/>
        <w:sz w:val="20"/>
      </w:rPr>
      <w:fldChar w:fldCharType="separate"/>
    </w:r>
    <w:r w:rsidR="00D53776">
      <w:rPr>
        <w:rFonts w:ascii="Times New Roman" w:hAnsi="Times New Roman"/>
        <w:noProof/>
        <w:sz w:val="20"/>
      </w:rPr>
      <w:t>3</w:t>
    </w:r>
    <w:r w:rsidRPr="000E13DB">
      <w:rPr>
        <w:rFonts w:ascii="Times New Roman" w:hAnsi="Times New Roman"/>
        <w:noProof/>
        <w:sz w:val="20"/>
      </w:rPr>
      <w:fldChar w:fldCharType="end"/>
    </w:r>
    <w:r w:rsidRPr="000E13DB">
      <w:rPr>
        <w:noProof/>
        <w:sz w:val="20"/>
      </w:rPr>
      <w:t>–</w:t>
    </w:r>
  </w:p>
  <w:p w14:paraId="7B468B00" w14:textId="77777777" w:rsidR="00E358BA" w:rsidRDefault="00E358BA">
    <w:pPr>
      <w:pStyle w:val="Footer"/>
      <w:tabs>
        <w:tab w:val="clear" w:pos="4320"/>
        <w:tab w:val="clear" w:pos="8640"/>
        <w:tab w:val="center" w:pos="4820"/>
        <w:tab w:val="right" w:pos="9639"/>
      </w:tabs>
      <w:ind w:right="36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A4BBA" w14:textId="77777777" w:rsidR="00310E64" w:rsidRDefault="00310E64">
      <w:r>
        <w:separator/>
      </w:r>
    </w:p>
  </w:footnote>
  <w:footnote w:type="continuationSeparator" w:id="0">
    <w:p w14:paraId="09E0ED61" w14:textId="77777777" w:rsidR="00310E64" w:rsidRDefault="00310E64">
      <w:r>
        <w:separator/>
      </w:r>
    </w:p>
  </w:footnote>
  <w:footnote w:type="continuationNotice" w:id="1">
    <w:p w14:paraId="20B953FA" w14:textId="77777777" w:rsidR="00310E64" w:rsidRDefault="00310E64">
      <w:pPr>
        <w:rPr>
          <w:i/>
          <w:sz w:val="18"/>
        </w:rPr>
      </w:pPr>
      <w:r>
        <w:rPr>
          <w:i/>
          <w:sz w:val="18"/>
        </w:rPr>
        <w:t>(footnote continued)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03ECD" w14:textId="44C73F77" w:rsidR="00157FE4" w:rsidRDefault="00157FE4" w:rsidP="00157FE4">
    <w:pPr>
      <w:pStyle w:val="Header"/>
      <w:pBdr>
        <w:bottom w:val="single" w:sz="4" w:space="1" w:color="auto"/>
      </w:pBdr>
      <w:jc w:val="right"/>
    </w:pPr>
    <w:r>
      <w:t xml:space="preserve">Appendix </w:t>
    </w:r>
    <w:r w:rsidR="00BB3C59">
      <w:t>P</w:t>
    </w:r>
    <w:r w:rsidR="00E5072E">
      <w:t>4</w:t>
    </w:r>
    <w:r>
      <w:t xml:space="preserve"> to EASPG/7 </w:t>
    </w:r>
    <w:r w:rsidR="00E5072E">
      <w:t>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ListBullet"/>
      <w:lvlText w:val="*"/>
      <w:lvlJc w:val="left"/>
    </w:lvl>
  </w:abstractNum>
  <w:abstractNum w:abstractNumId="1" w15:restartNumberingAfterBreak="0">
    <w:nsid w:val="03336442"/>
    <w:multiLevelType w:val="hybridMultilevel"/>
    <w:tmpl w:val="1F7C5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76D90"/>
    <w:multiLevelType w:val="multilevel"/>
    <w:tmpl w:val="51D01C14"/>
    <w:lvl w:ilvl="0">
      <w:start w:val="2"/>
      <w:numFmt w:val="decimal"/>
      <w:lvlText w:val="%1"/>
      <w:lvlJc w:val="left"/>
      <w:pPr>
        <w:tabs>
          <w:tab w:val="num" w:pos="540"/>
        </w:tabs>
        <w:ind w:left="540" w:hanging="540"/>
      </w:pPr>
      <w:rPr>
        <w:rFonts w:hint="default"/>
        <w:b/>
        <w:i w:val="0"/>
      </w:rPr>
    </w:lvl>
    <w:lvl w:ilvl="1">
      <w:start w:val="1"/>
      <w:numFmt w:val="decimal"/>
      <w:lvlText w:val="%1.%2"/>
      <w:lvlJc w:val="left"/>
      <w:pPr>
        <w:tabs>
          <w:tab w:val="num" w:pos="810"/>
        </w:tabs>
        <w:ind w:left="810" w:hanging="540"/>
      </w:pPr>
      <w:rPr>
        <w:rFonts w:hint="default"/>
        <w:i w:val="0"/>
      </w:rPr>
    </w:lvl>
    <w:lvl w:ilvl="2">
      <w:start w:val="1"/>
      <w:numFmt w:val="decimal"/>
      <w:lvlText w:val="%1.%2.%3"/>
      <w:lvlJc w:val="left"/>
      <w:pPr>
        <w:tabs>
          <w:tab w:val="num" w:pos="1170"/>
        </w:tabs>
        <w:ind w:left="1170" w:hanging="720"/>
      </w:pPr>
      <w:rPr>
        <w:rFonts w:hint="default"/>
        <w:b w:val="0"/>
        <w:i w:val="0"/>
        <w:sz w:val="22"/>
        <w:szCs w:val="22"/>
        <w:lang w:val="en-GB"/>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934CF8"/>
    <w:multiLevelType w:val="hybridMultilevel"/>
    <w:tmpl w:val="1F7C5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3700A6"/>
    <w:multiLevelType w:val="singleLevel"/>
    <w:tmpl w:val="C880728E"/>
    <w:lvl w:ilvl="0">
      <w:start w:val="1"/>
      <w:numFmt w:val="decimal"/>
      <w:pStyle w:val="IcaoSoDTitle1Section"/>
      <w:lvlText w:val="%1."/>
      <w:lvlJc w:val="left"/>
      <w:pPr>
        <w:tabs>
          <w:tab w:val="num" w:pos="926"/>
        </w:tabs>
        <w:ind w:left="926" w:hanging="360"/>
      </w:pPr>
    </w:lvl>
  </w:abstractNum>
  <w:abstractNum w:abstractNumId="5" w15:restartNumberingAfterBreak="0">
    <w:nsid w:val="1DD06A7B"/>
    <w:multiLevelType w:val="multilevel"/>
    <w:tmpl w:val="386AB484"/>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1004"/>
        </w:tabs>
        <w:ind w:left="284"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360"/>
        </w:tabs>
        <w:ind w:left="0" w:firstLine="0"/>
      </w:pPr>
      <w:rPr>
        <w:rFonts w:hint="default"/>
      </w:rPr>
    </w:lvl>
    <w:lvl w:ilvl="4">
      <w:start w:val="1"/>
      <w:numFmt w:val="decimal"/>
      <w:pStyle w:val="Heading5"/>
      <w:lvlText w:val="%1.%2.%3.%4.%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2A0968CB"/>
    <w:multiLevelType w:val="multilevel"/>
    <w:tmpl w:val="31FE4ED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2138"/>
        </w:tabs>
        <w:ind w:left="2138" w:hanging="720"/>
      </w:pPr>
    </w:lvl>
    <w:lvl w:ilvl="3">
      <w:start w:val="1"/>
      <w:numFmt w:val="decimal"/>
      <w:lvlText w:val="%1.%2.%3.%4"/>
      <w:lvlJc w:val="left"/>
      <w:pPr>
        <w:tabs>
          <w:tab w:val="num" w:pos="4550"/>
        </w:tabs>
        <w:ind w:left="4550"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E9B3AD4"/>
    <w:multiLevelType w:val="singleLevel"/>
    <w:tmpl w:val="DC3225C6"/>
    <w:lvl w:ilvl="0">
      <w:start w:val="1"/>
      <w:numFmt w:val="bullet"/>
      <w:pStyle w:val="bulletblackfirst"/>
      <w:lvlText w:val=""/>
      <w:lvlJc w:val="left"/>
      <w:pPr>
        <w:tabs>
          <w:tab w:val="num" w:pos="360"/>
        </w:tabs>
        <w:ind w:left="360" w:hanging="360"/>
      </w:pPr>
      <w:rPr>
        <w:rFonts w:ascii="Wingdings" w:hAnsi="Wingdings" w:hint="default"/>
      </w:rPr>
    </w:lvl>
  </w:abstractNum>
  <w:abstractNum w:abstractNumId="8" w15:restartNumberingAfterBreak="0">
    <w:nsid w:val="306147EF"/>
    <w:multiLevelType w:val="singleLevel"/>
    <w:tmpl w:val="4D12FE4E"/>
    <w:lvl w:ilvl="0">
      <w:start w:val="1"/>
      <w:numFmt w:val="decimal"/>
      <w:pStyle w:val="ListBullet1"/>
      <w:lvlText w:val="%1"/>
      <w:lvlJc w:val="left"/>
      <w:pPr>
        <w:tabs>
          <w:tab w:val="num" w:pos="360"/>
        </w:tabs>
        <w:ind w:left="360" w:hanging="360"/>
      </w:pPr>
      <w:rPr>
        <w:rFonts w:hint="default"/>
      </w:rPr>
    </w:lvl>
  </w:abstractNum>
  <w:abstractNum w:abstractNumId="9" w15:restartNumberingAfterBreak="0">
    <w:nsid w:val="4A515B20"/>
    <w:multiLevelType w:val="singleLevel"/>
    <w:tmpl w:val="6614998A"/>
    <w:lvl w:ilvl="0">
      <w:start w:val="1"/>
      <w:numFmt w:val="lowerLetter"/>
      <w:pStyle w:val="IcaoListabc"/>
      <w:lvlText w:val="%1)"/>
      <w:lvlJc w:val="left"/>
      <w:pPr>
        <w:tabs>
          <w:tab w:val="num" w:pos="1417"/>
        </w:tabs>
        <w:ind w:left="1417" w:hanging="425"/>
      </w:pPr>
    </w:lvl>
  </w:abstractNum>
  <w:abstractNum w:abstractNumId="10" w15:restartNumberingAfterBreak="0">
    <w:nsid w:val="527760A2"/>
    <w:multiLevelType w:val="multilevel"/>
    <w:tmpl w:val="7F88014C"/>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3.%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5CE05197"/>
    <w:multiLevelType w:val="hybridMultilevel"/>
    <w:tmpl w:val="1772EFEE"/>
    <w:lvl w:ilvl="0" w:tplc="27A433DC">
      <w:start w:val="1"/>
      <w:numFmt w:val="bullet"/>
      <w:lvlText w:val=""/>
      <w:lvlJc w:val="left"/>
      <w:pPr>
        <w:ind w:left="1440" w:hanging="360"/>
      </w:pPr>
      <w:rPr>
        <w:rFonts w:ascii="Symbol" w:hAnsi="Symbol" w:hint="default"/>
        <w:sz w:val="18"/>
        <w:szCs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58F6B5F"/>
    <w:multiLevelType w:val="hybridMultilevel"/>
    <w:tmpl w:val="1F7C56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676817">
    <w:abstractNumId w:val="0"/>
    <w:lvlOverride w:ilvl="0">
      <w:lvl w:ilvl="0">
        <w:start w:val="1"/>
        <w:numFmt w:val="bullet"/>
        <w:pStyle w:val="ListBullet"/>
        <w:lvlText w:val=""/>
        <w:legacy w:legacy="1" w:legacySpace="0" w:legacyIndent="360"/>
        <w:lvlJc w:val="left"/>
        <w:pPr>
          <w:ind w:left="1800" w:hanging="360"/>
        </w:pPr>
        <w:rPr>
          <w:rFonts w:ascii="Symbol" w:hAnsi="Symbol" w:hint="default"/>
          <w:sz w:val="22"/>
        </w:rPr>
      </w:lvl>
    </w:lvlOverride>
  </w:num>
  <w:num w:numId="2" w16cid:durableId="1830557146">
    <w:abstractNumId w:val="6"/>
  </w:num>
  <w:num w:numId="3" w16cid:durableId="628513545">
    <w:abstractNumId w:val="7"/>
  </w:num>
  <w:num w:numId="4" w16cid:durableId="798106827">
    <w:abstractNumId w:val="8"/>
  </w:num>
  <w:num w:numId="5" w16cid:durableId="792018836">
    <w:abstractNumId w:val="1"/>
  </w:num>
  <w:num w:numId="6" w16cid:durableId="522323120">
    <w:abstractNumId w:val="12"/>
  </w:num>
  <w:num w:numId="7" w16cid:durableId="7162046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0064817">
    <w:abstractNumId w:val="3"/>
  </w:num>
  <w:num w:numId="9" w16cid:durableId="1093358801">
    <w:abstractNumId w:val="4"/>
  </w:num>
  <w:num w:numId="10" w16cid:durableId="46347338">
    <w:abstractNumId w:val="5"/>
  </w:num>
  <w:num w:numId="11" w16cid:durableId="1135876311">
    <w:abstractNumId w:val="9"/>
  </w:num>
  <w:num w:numId="12" w16cid:durableId="642584256">
    <w:abstractNumId w:val="9"/>
    <w:lvlOverride w:ilvl="0">
      <w:startOverride w:val="1"/>
    </w:lvlOverride>
  </w:num>
  <w:num w:numId="13" w16cid:durableId="1990359610">
    <w:abstractNumId w:val="10"/>
  </w:num>
  <w:num w:numId="14" w16cid:durableId="302925497">
    <w:abstractNumId w:val="5"/>
  </w:num>
  <w:num w:numId="15" w16cid:durableId="777258087">
    <w:abstractNumId w:val="5"/>
  </w:num>
  <w:num w:numId="16" w16cid:durableId="442457150">
    <w:abstractNumId w:val="5"/>
  </w:num>
  <w:num w:numId="17" w16cid:durableId="876506521">
    <w:abstractNumId w:val="5"/>
  </w:num>
  <w:num w:numId="18" w16cid:durableId="253898683">
    <w:abstractNumId w:val="5"/>
  </w:num>
  <w:num w:numId="19" w16cid:durableId="245192606">
    <w:abstractNumId w:val="5"/>
  </w:num>
  <w:num w:numId="20" w16cid:durableId="2068986352">
    <w:abstractNumId w:val="5"/>
  </w:num>
  <w:num w:numId="21" w16cid:durableId="822312500">
    <w:abstractNumId w:val="5"/>
  </w:num>
  <w:num w:numId="22" w16cid:durableId="288322275">
    <w:abstractNumId w:val="5"/>
  </w:num>
  <w:num w:numId="23" w16cid:durableId="847713990">
    <w:abstractNumId w:val="5"/>
  </w:num>
  <w:num w:numId="24" w16cid:durableId="174539952">
    <w:abstractNumId w:val="9"/>
    <w:lvlOverride w:ilvl="0">
      <w:startOverride w:val="1"/>
    </w:lvlOverride>
  </w:num>
  <w:num w:numId="25" w16cid:durableId="3633069">
    <w:abstractNumId w:val="2"/>
  </w:num>
  <w:num w:numId="26" w16cid:durableId="34675718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0201" w:allStyles="1" w:customStyles="0" w:latentStyles="0" w:stylesInUse="0" w:headingStyles="0" w:numberingStyles="0" w:tableStyles="0" w:directFormattingOnRuns="0" w:directFormattingOnParagraphs="1" w:directFormattingOnNumbering="0" w:directFormattingOnTables="0" w:clearFormatting="0" w:top3HeadingStyles="0" w:visibleStyles="0" w:alternateStyleNames="0"/>
  <w:defaultTabStop w:val="357"/>
  <w:hyphenationZone w:val="425"/>
  <w:drawingGridHorizontalSpacing w:val="187"/>
  <w:drawingGridVerticalSpacing w:val="187"/>
  <w:doNotUseMarginsForDrawingGridOrigin/>
  <w:drawingGridHorizontalOrigin w:val="1699"/>
  <w:drawingGridVerticalOrigin w:val="1987"/>
  <w:doNotShadeFormData/>
  <w:noPunctuationKerning/>
  <w:characterSpacingControl w:val="doNotCompress"/>
  <w:hdrShapeDefaults>
    <o:shapedefaults v:ext="edit" spidmax="2050" fill="f" fillcolor="white" stroke="f">
      <v:fill color="white" on="f"/>
      <v:stroke on="f"/>
      <o:colormru v:ext="edit" colors="#d2d2d2,#cdcdcd,#c8c8c8"/>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5D3"/>
    <w:rsid w:val="00000F37"/>
    <w:rsid w:val="0000255F"/>
    <w:rsid w:val="00005A52"/>
    <w:rsid w:val="00006047"/>
    <w:rsid w:val="00010648"/>
    <w:rsid w:val="00014EFE"/>
    <w:rsid w:val="00032D96"/>
    <w:rsid w:val="000367E2"/>
    <w:rsid w:val="0004078D"/>
    <w:rsid w:val="0004250F"/>
    <w:rsid w:val="000441CC"/>
    <w:rsid w:val="00051342"/>
    <w:rsid w:val="000532B6"/>
    <w:rsid w:val="00054577"/>
    <w:rsid w:val="00054E48"/>
    <w:rsid w:val="00060032"/>
    <w:rsid w:val="0006024A"/>
    <w:rsid w:val="000603BC"/>
    <w:rsid w:val="000610B6"/>
    <w:rsid w:val="0006318B"/>
    <w:rsid w:val="00070844"/>
    <w:rsid w:val="00071E31"/>
    <w:rsid w:val="00085858"/>
    <w:rsid w:val="00086202"/>
    <w:rsid w:val="000933CA"/>
    <w:rsid w:val="00095F70"/>
    <w:rsid w:val="000A0B1A"/>
    <w:rsid w:val="000A1251"/>
    <w:rsid w:val="000A24C4"/>
    <w:rsid w:val="000A256E"/>
    <w:rsid w:val="000A4A1D"/>
    <w:rsid w:val="000A7C58"/>
    <w:rsid w:val="000B0F8D"/>
    <w:rsid w:val="000B1F3D"/>
    <w:rsid w:val="000B2BE4"/>
    <w:rsid w:val="000B3837"/>
    <w:rsid w:val="000B7DF8"/>
    <w:rsid w:val="000C1454"/>
    <w:rsid w:val="000C1946"/>
    <w:rsid w:val="000C4BDB"/>
    <w:rsid w:val="000D05D3"/>
    <w:rsid w:val="000D319C"/>
    <w:rsid w:val="000D3232"/>
    <w:rsid w:val="000D35E1"/>
    <w:rsid w:val="000D3C04"/>
    <w:rsid w:val="000D4107"/>
    <w:rsid w:val="000E13DB"/>
    <w:rsid w:val="000E19A4"/>
    <w:rsid w:val="000E1D2B"/>
    <w:rsid w:val="000E3E62"/>
    <w:rsid w:val="000E5084"/>
    <w:rsid w:val="000F1D69"/>
    <w:rsid w:val="000F2691"/>
    <w:rsid w:val="000F5105"/>
    <w:rsid w:val="000F5F17"/>
    <w:rsid w:val="00113358"/>
    <w:rsid w:val="00114DC2"/>
    <w:rsid w:val="00114FE9"/>
    <w:rsid w:val="001200C1"/>
    <w:rsid w:val="00125219"/>
    <w:rsid w:val="0012790D"/>
    <w:rsid w:val="00130B56"/>
    <w:rsid w:val="00130E29"/>
    <w:rsid w:val="001322E2"/>
    <w:rsid w:val="00137CEC"/>
    <w:rsid w:val="00143133"/>
    <w:rsid w:val="001436FC"/>
    <w:rsid w:val="00150B0F"/>
    <w:rsid w:val="001520F0"/>
    <w:rsid w:val="00154831"/>
    <w:rsid w:val="00157FE4"/>
    <w:rsid w:val="001659ED"/>
    <w:rsid w:val="001665AC"/>
    <w:rsid w:val="001772E3"/>
    <w:rsid w:val="00177EED"/>
    <w:rsid w:val="001800F5"/>
    <w:rsid w:val="00181DDC"/>
    <w:rsid w:val="00184BEB"/>
    <w:rsid w:val="00186969"/>
    <w:rsid w:val="00187B7E"/>
    <w:rsid w:val="00191605"/>
    <w:rsid w:val="00192CA3"/>
    <w:rsid w:val="00196668"/>
    <w:rsid w:val="001968A3"/>
    <w:rsid w:val="001973BF"/>
    <w:rsid w:val="001A2549"/>
    <w:rsid w:val="001A7093"/>
    <w:rsid w:val="001B21EA"/>
    <w:rsid w:val="001B2473"/>
    <w:rsid w:val="001B3005"/>
    <w:rsid w:val="001B53D1"/>
    <w:rsid w:val="001B5F55"/>
    <w:rsid w:val="001C3E02"/>
    <w:rsid w:val="001C53E6"/>
    <w:rsid w:val="001C5571"/>
    <w:rsid w:val="001D1804"/>
    <w:rsid w:val="001D3BCE"/>
    <w:rsid w:val="001D4BD9"/>
    <w:rsid w:val="001D5B5D"/>
    <w:rsid w:val="001D6EBF"/>
    <w:rsid w:val="001D770D"/>
    <w:rsid w:val="001E0C79"/>
    <w:rsid w:val="001E23A9"/>
    <w:rsid w:val="001E38DA"/>
    <w:rsid w:val="001F57D1"/>
    <w:rsid w:val="001F686D"/>
    <w:rsid w:val="001F7AD4"/>
    <w:rsid w:val="00201234"/>
    <w:rsid w:val="002101B3"/>
    <w:rsid w:val="002137EE"/>
    <w:rsid w:val="00214D05"/>
    <w:rsid w:val="00215EA4"/>
    <w:rsid w:val="00217486"/>
    <w:rsid w:val="00217A7C"/>
    <w:rsid w:val="002206A3"/>
    <w:rsid w:val="0022168B"/>
    <w:rsid w:val="00221B28"/>
    <w:rsid w:val="00224E60"/>
    <w:rsid w:val="002301B3"/>
    <w:rsid w:val="002303D1"/>
    <w:rsid w:val="0023092D"/>
    <w:rsid w:val="00232D2C"/>
    <w:rsid w:val="00236470"/>
    <w:rsid w:val="00236EB0"/>
    <w:rsid w:val="002460CD"/>
    <w:rsid w:val="00250EE1"/>
    <w:rsid w:val="002568F2"/>
    <w:rsid w:val="00265698"/>
    <w:rsid w:val="002676E9"/>
    <w:rsid w:val="00267B20"/>
    <w:rsid w:val="002709DB"/>
    <w:rsid w:val="0027112F"/>
    <w:rsid w:val="002762B7"/>
    <w:rsid w:val="00280EB9"/>
    <w:rsid w:val="00285401"/>
    <w:rsid w:val="00285B17"/>
    <w:rsid w:val="00285F34"/>
    <w:rsid w:val="002902DB"/>
    <w:rsid w:val="002A17E8"/>
    <w:rsid w:val="002A7F71"/>
    <w:rsid w:val="002B44C4"/>
    <w:rsid w:val="002C19CC"/>
    <w:rsid w:val="002C4CCE"/>
    <w:rsid w:val="002D1F99"/>
    <w:rsid w:val="002D45D8"/>
    <w:rsid w:val="002D4C0E"/>
    <w:rsid w:val="002D584B"/>
    <w:rsid w:val="002D5B37"/>
    <w:rsid w:val="002E6382"/>
    <w:rsid w:val="002F0808"/>
    <w:rsid w:val="002F2BF5"/>
    <w:rsid w:val="00310E64"/>
    <w:rsid w:val="003113A5"/>
    <w:rsid w:val="0031426D"/>
    <w:rsid w:val="00323FC8"/>
    <w:rsid w:val="0032566A"/>
    <w:rsid w:val="003270F5"/>
    <w:rsid w:val="00327D96"/>
    <w:rsid w:val="00331411"/>
    <w:rsid w:val="003324C7"/>
    <w:rsid w:val="0033460A"/>
    <w:rsid w:val="0033677A"/>
    <w:rsid w:val="00354E7F"/>
    <w:rsid w:val="003553D2"/>
    <w:rsid w:val="00355B02"/>
    <w:rsid w:val="0035680C"/>
    <w:rsid w:val="003632EB"/>
    <w:rsid w:val="003640F7"/>
    <w:rsid w:val="003656E3"/>
    <w:rsid w:val="00365E56"/>
    <w:rsid w:val="0037069F"/>
    <w:rsid w:val="003711AE"/>
    <w:rsid w:val="00372850"/>
    <w:rsid w:val="003728B3"/>
    <w:rsid w:val="003754E4"/>
    <w:rsid w:val="00380B39"/>
    <w:rsid w:val="00381FAE"/>
    <w:rsid w:val="003826A4"/>
    <w:rsid w:val="00384406"/>
    <w:rsid w:val="0039022C"/>
    <w:rsid w:val="0039054E"/>
    <w:rsid w:val="00391AD7"/>
    <w:rsid w:val="00391C3A"/>
    <w:rsid w:val="003942EC"/>
    <w:rsid w:val="00394304"/>
    <w:rsid w:val="00395916"/>
    <w:rsid w:val="003A2F19"/>
    <w:rsid w:val="003A3761"/>
    <w:rsid w:val="003A495D"/>
    <w:rsid w:val="003A4E2F"/>
    <w:rsid w:val="003B5016"/>
    <w:rsid w:val="003B5018"/>
    <w:rsid w:val="003B7095"/>
    <w:rsid w:val="003C1D9C"/>
    <w:rsid w:val="003C3637"/>
    <w:rsid w:val="003C4229"/>
    <w:rsid w:val="003C4C53"/>
    <w:rsid w:val="003C56EB"/>
    <w:rsid w:val="003D19BD"/>
    <w:rsid w:val="003D4E43"/>
    <w:rsid w:val="003D5805"/>
    <w:rsid w:val="003E1414"/>
    <w:rsid w:val="003E30F4"/>
    <w:rsid w:val="003E3374"/>
    <w:rsid w:val="003E4BAA"/>
    <w:rsid w:val="003E5E12"/>
    <w:rsid w:val="003E76F2"/>
    <w:rsid w:val="003F65DD"/>
    <w:rsid w:val="0040061D"/>
    <w:rsid w:val="004071FE"/>
    <w:rsid w:val="004103C3"/>
    <w:rsid w:val="00412847"/>
    <w:rsid w:val="00412EEB"/>
    <w:rsid w:val="0041569F"/>
    <w:rsid w:val="004203C9"/>
    <w:rsid w:val="00423064"/>
    <w:rsid w:val="00423205"/>
    <w:rsid w:val="00424B5C"/>
    <w:rsid w:val="00427CB9"/>
    <w:rsid w:val="004302FE"/>
    <w:rsid w:val="004306B8"/>
    <w:rsid w:val="00430F13"/>
    <w:rsid w:val="00430F5C"/>
    <w:rsid w:val="00433C72"/>
    <w:rsid w:val="00433CCC"/>
    <w:rsid w:val="00437807"/>
    <w:rsid w:val="00440008"/>
    <w:rsid w:val="00443A37"/>
    <w:rsid w:val="00443AD8"/>
    <w:rsid w:val="00446A5E"/>
    <w:rsid w:val="00451175"/>
    <w:rsid w:val="00451C7D"/>
    <w:rsid w:val="00454727"/>
    <w:rsid w:val="00454E73"/>
    <w:rsid w:val="004616F7"/>
    <w:rsid w:val="004626FF"/>
    <w:rsid w:val="00463CE6"/>
    <w:rsid w:val="00467E8C"/>
    <w:rsid w:val="00471A67"/>
    <w:rsid w:val="00475DB9"/>
    <w:rsid w:val="0047663B"/>
    <w:rsid w:val="004804BF"/>
    <w:rsid w:val="00483702"/>
    <w:rsid w:val="0048666C"/>
    <w:rsid w:val="004929C2"/>
    <w:rsid w:val="00492C16"/>
    <w:rsid w:val="00492DC0"/>
    <w:rsid w:val="0049742B"/>
    <w:rsid w:val="004A0CC6"/>
    <w:rsid w:val="004A37B0"/>
    <w:rsid w:val="004A3896"/>
    <w:rsid w:val="004A497A"/>
    <w:rsid w:val="004B0929"/>
    <w:rsid w:val="004B0EE1"/>
    <w:rsid w:val="004C5D44"/>
    <w:rsid w:val="004D1D37"/>
    <w:rsid w:val="004D3792"/>
    <w:rsid w:val="004E171B"/>
    <w:rsid w:val="004E2B6C"/>
    <w:rsid w:val="004E514E"/>
    <w:rsid w:val="004E6CFC"/>
    <w:rsid w:val="004E6D12"/>
    <w:rsid w:val="004F06A9"/>
    <w:rsid w:val="004F13E0"/>
    <w:rsid w:val="004F25E6"/>
    <w:rsid w:val="004F514B"/>
    <w:rsid w:val="00500628"/>
    <w:rsid w:val="00500A8E"/>
    <w:rsid w:val="00503FF4"/>
    <w:rsid w:val="0050430C"/>
    <w:rsid w:val="0050463E"/>
    <w:rsid w:val="00505408"/>
    <w:rsid w:val="0051023A"/>
    <w:rsid w:val="0051030D"/>
    <w:rsid w:val="00511F27"/>
    <w:rsid w:val="00514CB4"/>
    <w:rsid w:val="005200CA"/>
    <w:rsid w:val="0052160C"/>
    <w:rsid w:val="005237C6"/>
    <w:rsid w:val="005300A0"/>
    <w:rsid w:val="00534580"/>
    <w:rsid w:val="00542998"/>
    <w:rsid w:val="00544778"/>
    <w:rsid w:val="00544A86"/>
    <w:rsid w:val="00544B71"/>
    <w:rsid w:val="005453E5"/>
    <w:rsid w:val="0055250F"/>
    <w:rsid w:val="005528CA"/>
    <w:rsid w:val="00554C4C"/>
    <w:rsid w:val="00554EB5"/>
    <w:rsid w:val="005579C1"/>
    <w:rsid w:val="00560B77"/>
    <w:rsid w:val="00564DFD"/>
    <w:rsid w:val="00564E0F"/>
    <w:rsid w:val="005677EC"/>
    <w:rsid w:val="00570DA1"/>
    <w:rsid w:val="00572E09"/>
    <w:rsid w:val="00573F89"/>
    <w:rsid w:val="00574D07"/>
    <w:rsid w:val="00575F5B"/>
    <w:rsid w:val="005770F3"/>
    <w:rsid w:val="00580B2E"/>
    <w:rsid w:val="00583B4F"/>
    <w:rsid w:val="0058603A"/>
    <w:rsid w:val="00586995"/>
    <w:rsid w:val="00596503"/>
    <w:rsid w:val="00596ADE"/>
    <w:rsid w:val="005B6788"/>
    <w:rsid w:val="005C2A81"/>
    <w:rsid w:val="005C5B93"/>
    <w:rsid w:val="005C7616"/>
    <w:rsid w:val="005C76F6"/>
    <w:rsid w:val="005C79DD"/>
    <w:rsid w:val="005C7D3E"/>
    <w:rsid w:val="005D1952"/>
    <w:rsid w:val="005D73CA"/>
    <w:rsid w:val="005E0007"/>
    <w:rsid w:val="005E1A95"/>
    <w:rsid w:val="005E5183"/>
    <w:rsid w:val="005F0B2E"/>
    <w:rsid w:val="005F11F5"/>
    <w:rsid w:val="006027B4"/>
    <w:rsid w:val="0060304C"/>
    <w:rsid w:val="0060398C"/>
    <w:rsid w:val="00604E4D"/>
    <w:rsid w:val="00606E72"/>
    <w:rsid w:val="006073A9"/>
    <w:rsid w:val="0061301C"/>
    <w:rsid w:val="00613278"/>
    <w:rsid w:val="0061381B"/>
    <w:rsid w:val="0062002C"/>
    <w:rsid w:val="0062086F"/>
    <w:rsid w:val="00622FA2"/>
    <w:rsid w:val="00626561"/>
    <w:rsid w:val="00633FAF"/>
    <w:rsid w:val="00634A8E"/>
    <w:rsid w:val="006370DC"/>
    <w:rsid w:val="0064509F"/>
    <w:rsid w:val="00646BD5"/>
    <w:rsid w:val="00651D4D"/>
    <w:rsid w:val="00652A81"/>
    <w:rsid w:val="00654EA2"/>
    <w:rsid w:val="00661567"/>
    <w:rsid w:val="00662319"/>
    <w:rsid w:val="00662667"/>
    <w:rsid w:val="00662791"/>
    <w:rsid w:val="00662E63"/>
    <w:rsid w:val="00673A0D"/>
    <w:rsid w:val="00675BC1"/>
    <w:rsid w:val="006826BB"/>
    <w:rsid w:val="00691DB1"/>
    <w:rsid w:val="00692E6C"/>
    <w:rsid w:val="0069504B"/>
    <w:rsid w:val="00697AA5"/>
    <w:rsid w:val="006B14D2"/>
    <w:rsid w:val="006B4E86"/>
    <w:rsid w:val="006B504C"/>
    <w:rsid w:val="006B6CBB"/>
    <w:rsid w:val="006C2606"/>
    <w:rsid w:val="006C5715"/>
    <w:rsid w:val="006C6623"/>
    <w:rsid w:val="006D0178"/>
    <w:rsid w:val="006D2632"/>
    <w:rsid w:val="006D44BB"/>
    <w:rsid w:val="006D4A6A"/>
    <w:rsid w:val="006D542A"/>
    <w:rsid w:val="006D663C"/>
    <w:rsid w:val="006D6CB3"/>
    <w:rsid w:val="006D6D30"/>
    <w:rsid w:val="006D6E01"/>
    <w:rsid w:val="006D6E40"/>
    <w:rsid w:val="006E6A06"/>
    <w:rsid w:val="006F1B4A"/>
    <w:rsid w:val="006F2338"/>
    <w:rsid w:val="006F3CEA"/>
    <w:rsid w:val="006F75BC"/>
    <w:rsid w:val="006F79D2"/>
    <w:rsid w:val="007031E8"/>
    <w:rsid w:val="007039F0"/>
    <w:rsid w:val="00711E84"/>
    <w:rsid w:val="00712849"/>
    <w:rsid w:val="00714A9F"/>
    <w:rsid w:val="00720155"/>
    <w:rsid w:val="00722F06"/>
    <w:rsid w:val="0072377C"/>
    <w:rsid w:val="007247D8"/>
    <w:rsid w:val="0072615D"/>
    <w:rsid w:val="00730DD1"/>
    <w:rsid w:val="00731B53"/>
    <w:rsid w:val="00737A59"/>
    <w:rsid w:val="00741607"/>
    <w:rsid w:val="00742742"/>
    <w:rsid w:val="007434BC"/>
    <w:rsid w:val="00744DFA"/>
    <w:rsid w:val="00747E3F"/>
    <w:rsid w:val="00750AA7"/>
    <w:rsid w:val="00753706"/>
    <w:rsid w:val="0075708C"/>
    <w:rsid w:val="00760BBE"/>
    <w:rsid w:val="00763F19"/>
    <w:rsid w:val="007646E1"/>
    <w:rsid w:val="00767182"/>
    <w:rsid w:val="00767C38"/>
    <w:rsid w:val="0078036A"/>
    <w:rsid w:val="00783DEA"/>
    <w:rsid w:val="0078446F"/>
    <w:rsid w:val="00784F4C"/>
    <w:rsid w:val="007939BC"/>
    <w:rsid w:val="00796EA7"/>
    <w:rsid w:val="007A6CC8"/>
    <w:rsid w:val="007A7D8B"/>
    <w:rsid w:val="007B61D6"/>
    <w:rsid w:val="007B63F5"/>
    <w:rsid w:val="007D2100"/>
    <w:rsid w:val="007D27F7"/>
    <w:rsid w:val="007D371F"/>
    <w:rsid w:val="007D4305"/>
    <w:rsid w:val="007D4D22"/>
    <w:rsid w:val="007D584B"/>
    <w:rsid w:val="007D62F5"/>
    <w:rsid w:val="007E1BBE"/>
    <w:rsid w:val="007E235C"/>
    <w:rsid w:val="007E49D8"/>
    <w:rsid w:val="007E4D94"/>
    <w:rsid w:val="007E5575"/>
    <w:rsid w:val="007E7729"/>
    <w:rsid w:val="007F1151"/>
    <w:rsid w:val="007F1619"/>
    <w:rsid w:val="007F1D8F"/>
    <w:rsid w:val="007F2272"/>
    <w:rsid w:val="007F44A8"/>
    <w:rsid w:val="007F5109"/>
    <w:rsid w:val="007F59E9"/>
    <w:rsid w:val="007F7C4E"/>
    <w:rsid w:val="008029ED"/>
    <w:rsid w:val="00807C14"/>
    <w:rsid w:val="008118B2"/>
    <w:rsid w:val="00811D30"/>
    <w:rsid w:val="00814609"/>
    <w:rsid w:val="0081608C"/>
    <w:rsid w:val="00817943"/>
    <w:rsid w:val="00820D24"/>
    <w:rsid w:val="0082688D"/>
    <w:rsid w:val="00826A51"/>
    <w:rsid w:val="0082738A"/>
    <w:rsid w:val="00836A42"/>
    <w:rsid w:val="00837667"/>
    <w:rsid w:val="00841D05"/>
    <w:rsid w:val="008511E4"/>
    <w:rsid w:val="0085231A"/>
    <w:rsid w:val="00852741"/>
    <w:rsid w:val="00855E17"/>
    <w:rsid w:val="00857C74"/>
    <w:rsid w:val="00857DDF"/>
    <w:rsid w:val="00860AE1"/>
    <w:rsid w:val="00862CEE"/>
    <w:rsid w:val="00863CD0"/>
    <w:rsid w:val="008643ED"/>
    <w:rsid w:val="00870DE5"/>
    <w:rsid w:val="00872062"/>
    <w:rsid w:val="00872374"/>
    <w:rsid w:val="00872CBD"/>
    <w:rsid w:val="008733E5"/>
    <w:rsid w:val="00873B03"/>
    <w:rsid w:val="008745E8"/>
    <w:rsid w:val="00881861"/>
    <w:rsid w:val="008835ED"/>
    <w:rsid w:val="008839D7"/>
    <w:rsid w:val="0088591F"/>
    <w:rsid w:val="008903ED"/>
    <w:rsid w:val="00891402"/>
    <w:rsid w:val="0089403B"/>
    <w:rsid w:val="00895ADE"/>
    <w:rsid w:val="00896CBA"/>
    <w:rsid w:val="008A2073"/>
    <w:rsid w:val="008A3D4D"/>
    <w:rsid w:val="008A69F4"/>
    <w:rsid w:val="008B0BCA"/>
    <w:rsid w:val="008B3BB9"/>
    <w:rsid w:val="008B498E"/>
    <w:rsid w:val="008C20CB"/>
    <w:rsid w:val="008C660D"/>
    <w:rsid w:val="008C7586"/>
    <w:rsid w:val="008C775D"/>
    <w:rsid w:val="008D0F71"/>
    <w:rsid w:val="008D1E22"/>
    <w:rsid w:val="008D2521"/>
    <w:rsid w:val="008D7714"/>
    <w:rsid w:val="008E03D7"/>
    <w:rsid w:val="008F1B58"/>
    <w:rsid w:val="008F27CE"/>
    <w:rsid w:val="008F3255"/>
    <w:rsid w:val="008F742B"/>
    <w:rsid w:val="009005C8"/>
    <w:rsid w:val="00904D39"/>
    <w:rsid w:val="00906513"/>
    <w:rsid w:val="0090762B"/>
    <w:rsid w:val="009207B6"/>
    <w:rsid w:val="00922419"/>
    <w:rsid w:val="00931B23"/>
    <w:rsid w:val="0093306E"/>
    <w:rsid w:val="00934F69"/>
    <w:rsid w:val="00935442"/>
    <w:rsid w:val="0093637E"/>
    <w:rsid w:val="0094257E"/>
    <w:rsid w:val="00944F8E"/>
    <w:rsid w:val="009467F2"/>
    <w:rsid w:val="00947F65"/>
    <w:rsid w:val="009518DF"/>
    <w:rsid w:val="00951A35"/>
    <w:rsid w:val="0095279C"/>
    <w:rsid w:val="0095330B"/>
    <w:rsid w:val="009536CA"/>
    <w:rsid w:val="00962393"/>
    <w:rsid w:val="00964035"/>
    <w:rsid w:val="00964D47"/>
    <w:rsid w:val="00964D7F"/>
    <w:rsid w:val="00966967"/>
    <w:rsid w:val="00970B3F"/>
    <w:rsid w:val="0098173E"/>
    <w:rsid w:val="00986AE3"/>
    <w:rsid w:val="00986C1D"/>
    <w:rsid w:val="009933AB"/>
    <w:rsid w:val="009944D4"/>
    <w:rsid w:val="009A21A1"/>
    <w:rsid w:val="009A7617"/>
    <w:rsid w:val="009B0532"/>
    <w:rsid w:val="009B35B4"/>
    <w:rsid w:val="009B3CF8"/>
    <w:rsid w:val="009C1197"/>
    <w:rsid w:val="009C16EB"/>
    <w:rsid w:val="009C608D"/>
    <w:rsid w:val="009C7CEE"/>
    <w:rsid w:val="009C7F4C"/>
    <w:rsid w:val="009D2AA3"/>
    <w:rsid w:val="009E07BD"/>
    <w:rsid w:val="009E1027"/>
    <w:rsid w:val="009E31FE"/>
    <w:rsid w:val="009F46A6"/>
    <w:rsid w:val="009F49AC"/>
    <w:rsid w:val="009F5AEB"/>
    <w:rsid w:val="00A00E0C"/>
    <w:rsid w:val="00A0244A"/>
    <w:rsid w:val="00A072FF"/>
    <w:rsid w:val="00A11482"/>
    <w:rsid w:val="00A1445E"/>
    <w:rsid w:val="00A14D25"/>
    <w:rsid w:val="00A15955"/>
    <w:rsid w:val="00A31322"/>
    <w:rsid w:val="00A319F7"/>
    <w:rsid w:val="00A3259B"/>
    <w:rsid w:val="00A35647"/>
    <w:rsid w:val="00A42EAF"/>
    <w:rsid w:val="00A43A14"/>
    <w:rsid w:val="00A502EE"/>
    <w:rsid w:val="00A5078E"/>
    <w:rsid w:val="00A53DD5"/>
    <w:rsid w:val="00A555E8"/>
    <w:rsid w:val="00A62BEF"/>
    <w:rsid w:val="00A66485"/>
    <w:rsid w:val="00A67A0A"/>
    <w:rsid w:val="00A70DC2"/>
    <w:rsid w:val="00A7153C"/>
    <w:rsid w:val="00A742D8"/>
    <w:rsid w:val="00A75360"/>
    <w:rsid w:val="00A82B42"/>
    <w:rsid w:val="00A84395"/>
    <w:rsid w:val="00A85287"/>
    <w:rsid w:val="00A868CC"/>
    <w:rsid w:val="00A86E7B"/>
    <w:rsid w:val="00A90EBE"/>
    <w:rsid w:val="00A9177E"/>
    <w:rsid w:val="00A943BD"/>
    <w:rsid w:val="00A94C31"/>
    <w:rsid w:val="00A94D89"/>
    <w:rsid w:val="00A95B21"/>
    <w:rsid w:val="00A971C5"/>
    <w:rsid w:val="00AA04F2"/>
    <w:rsid w:val="00AA0529"/>
    <w:rsid w:val="00AA0E09"/>
    <w:rsid w:val="00AA47CC"/>
    <w:rsid w:val="00AA7510"/>
    <w:rsid w:val="00AB00AA"/>
    <w:rsid w:val="00AB56AC"/>
    <w:rsid w:val="00AB7834"/>
    <w:rsid w:val="00AC0074"/>
    <w:rsid w:val="00AC09CD"/>
    <w:rsid w:val="00AC1803"/>
    <w:rsid w:val="00AC1F4E"/>
    <w:rsid w:val="00AC2F35"/>
    <w:rsid w:val="00AD11AF"/>
    <w:rsid w:val="00AD1765"/>
    <w:rsid w:val="00AD1AF4"/>
    <w:rsid w:val="00AD21F7"/>
    <w:rsid w:val="00AD7356"/>
    <w:rsid w:val="00AE02CE"/>
    <w:rsid w:val="00AE1E0D"/>
    <w:rsid w:val="00AE4CAE"/>
    <w:rsid w:val="00AE6B0D"/>
    <w:rsid w:val="00AF15D3"/>
    <w:rsid w:val="00AF4ADA"/>
    <w:rsid w:val="00AF57F2"/>
    <w:rsid w:val="00AF6912"/>
    <w:rsid w:val="00B05251"/>
    <w:rsid w:val="00B06A35"/>
    <w:rsid w:val="00B07A2C"/>
    <w:rsid w:val="00B109B8"/>
    <w:rsid w:val="00B146F6"/>
    <w:rsid w:val="00B23EA6"/>
    <w:rsid w:val="00B34E07"/>
    <w:rsid w:val="00B4317B"/>
    <w:rsid w:val="00B50921"/>
    <w:rsid w:val="00B50963"/>
    <w:rsid w:val="00B51198"/>
    <w:rsid w:val="00B54988"/>
    <w:rsid w:val="00B55BDC"/>
    <w:rsid w:val="00B57B64"/>
    <w:rsid w:val="00B613FD"/>
    <w:rsid w:val="00B62BD8"/>
    <w:rsid w:val="00B64702"/>
    <w:rsid w:val="00B65F57"/>
    <w:rsid w:val="00B67BC8"/>
    <w:rsid w:val="00B67E0B"/>
    <w:rsid w:val="00B73120"/>
    <w:rsid w:val="00B7426D"/>
    <w:rsid w:val="00B745B0"/>
    <w:rsid w:val="00B74FB5"/>
    <w:rsid w:val="00B76156"/>
    <w:rsid w:val="00B76612"/>
    <w:rsid w:val="00B77EB0"/>
    <w:rsid w:val="00B810E0"/>
    <w:rsid w:val="00B83A08"/>
    <w:rsid w:val="00B91979"/>
    <w:rsid w:val="00B926D1"/>
    <w:rsid w:val="00B93420"/>
    <w:rsid w:val="00B95E60"/>
    <w:rsid w:val="00BA01F1"/>
    <w:rsid w:val="00BA12DA"/>
    <w:rsid w:val="00BA1A6C"/>
    <w:rsid w:val="00BA423B"/>
    <w:rsid w:val="00BA4A25"/>
    <w:rsid w:val="00BB0D87"/>
    <w:rsid w:val="00BB1207"/>
    <w:rsid w:val="00BB3143"/>
    <w:rsid w:val="00BB34E5"/>
    <w:rsid w:val="00BB3C59"/>
    <w:rsid w:val="00BC2F3D"/>
    <w:rsid w:val="00BC3BF0"/>
    <w:rsid w:val="00BC78D9"/>
    <w:rsid w:val="00BD4CD1"/>
    <w:rsid w:val="00BD7728"/>
    <w:rsid w:val="00BD7AEE"/>
    <w:rsid w:val="00BE0303"/>
    <w:rsid w:val="00BE26D3"/>
    <w:rsid w:val="00BE452F"/>
    <w:rsid w:val="00BE729D"/>
    <w:rsid w:val="00BF017D"/>
    <w:rsid w:val="00BF09FC"/>
    <w:rsid w:val="00BF38A2"/>
    <w:rsid w:val="00C01CC2"/>
    <w:rsid w:val="00C03931"/>
    <w:rsid w:val="00C070AE"/>
    <w:rsid w:val="00C101E8"/>
    <w:rsid w:val="00C11294"/>
    <w:rsid w:val="00C13CB9"/>
    <w:rsid w:val="00C220EA"/>
    <w:rsid w:val="00C235A1"/>
    <w:rsid w:val="00C25BD1"/>
    <w:rsid w:val="00C25C61"/>
    <w:rsid w:val="00C27588"/>
    <w:rsid w:val="00C31F75"/>
    <w:rsid w:val="00C32165"/>
    <w:rsid w:val="00C35249"/>
    <w:rsid w:val="00C37F3E"/>
    <w:rsid w:val="00C42308"/>
    <w:rsid w:val="00C427CC"/>
    <w:rsid w:val="00C430FA"/>
    <w:rsid w:val="00C450DE"/>
    <w:rsid w:val="00C47F4C"/>
    <w:rsid w:val="00C5099F"/>
    <w:rsid w:val="00C50D90"/>
    <w:rsid w:val="00C51618"/>
    <w:rsid w:val="00C63880"/>
    <w:rsid w:val="00C73186"/>
    <w:rsid w:val="00C75DC0"/>
    <w:rsid w:val="00C760E7"/>
    <w:rsid w:val="00C77187"/>
    <w:rsid w:val="00C823EA"/>
    <w:rsid w:val="00C845DC"/>
    <w:rsid w:val="00C847F1"/>
    <w:rsid w:val="00C86846"/>
    <w:rsid w:val="00C90932"/>
    <w:rsid w:val="00C92A52"/>
    <w:rsid w:val="00C92F7A"/>
    <w:rsid w:val="00C938E8"/>
    <w:rsid w:val="00C93A9C"/>
    <w:rsid w:val="00C94224"/>
    <w:rsid w:val="00C965B3"/>
    <w:rsid w:val="00C9726B"/>
    <w:rsid w:val="00CA5CE9"/>
    <w:rsid w:val="00CA7DF6"/>
    <w:rsid w:val="00CB2867"/>
    <w:rsid w:val="00CB3C6E"/>
    <w:rsid w:val="00CC3FE8"/>
    <w:rsid w:val="00CC51B2"/>
    <w:rsid w:val="00CC68FC"/>
    <w:rsid w:val="00CD2E65"/>
    <w:rsid w:val="00CD5EB0"/>
    <w:rsid w:val="00CE05FB"/>
    <w:rsid w:val="00CE0D2E"/>
    <w:rsid w:val="00CE2282"/>
    <w:rsid w:val="00CE7014"/>
    <w:rsid w:val="00CE72F0"/>
    <w:rsid w:val="00CF1417"/>
    <w:rsid w:val="00CF33C6"/>
    <w:rsid w:val="00CF70CB"/>
    <w:rsid w:val="00CF729C"/>
    <w:rsid w:val="00D0004C"/>
    <w:rsid w:val="00D04A6D"/>
    <w:rsid w:val="00D06917"/>
    <w:rsid w:val="00D10085"/>
    <w:rsid w:val="00D109D3"/>
    <w:rsid w:val="00D12024"/>
    <w:rsid w:val="00D1470B"/>
    <w:rsid w:val="00D1478F"/>
    <w:rsid w:val="00D20A20"/>
    <w:rsid w:val="00D25847"/>
    <w:rsid w:val="00D3306D"/>
    <w:rsid w:val="00D3415A"/>
    <w:rsid w:val="00D3476A"/>
    <w:rsid w:val="00D34CE8"/>
    <w:rsid w:val="00D369E7"/>
    <w:rsid w:val="00D410B4"/>
    <w:rsid w:val="00D41C82"/>
    <w:rsid w:val="00D424EB"/>
    <w:rsid w:val="00D462F4"/>
    <w:rsid w:val="00D47404"/>
    <w:rsid w:val="00D505A7"/>
    <w:rsid w:val="00D515F6"/>
    <w:rsid w:val="00D53776"/>
    <w:rsid w:val="00D542B7"/>
    <w:rsid w:val="00D60B2A"/>
    <w:rsid w:val="00D6132E"/>
    <w:rsid w:val="00D62E8B"/>
    <w:rsid w:val="00D65214"/>
    <w:rsid w:val="00D65CE2"/>
    <w:rsid w:val="00D71042"/>
    <w:rsid w:val="00D731C1"/>
    <w:rsid w:val="00D85AB2"/>
    <w:rsid w:val="00D90A31"/>
    <w:rsid w:val="00D95B60"/>
    <w:rsid w:val="00D95BF2"/>
    <w:rsid w:val="00D95FD3"/>
    <w:rsid w:val="00DA0585"/>
    <w:rsid w:val="00DB029F"/>
    <w:rsid w:val="00DB18ED"/>
    <w:rsid w:val="00DB562C"/>
    <w:rsid w:val="00DB7563"/>
    <w:rsid w:val="00DC1D72"/>
    <w:rsid w:val="00DC49C8"/>
    <w:rsid w:val="00DC7AE6"/>
    <w:rsid w:val="00DD29DA"/>
    <w:rsid w:val="00DD2C09"/>
    <w:rsid w:val="00DD3D1A"/>
    <w:rsid w:val="00DD3D64"/>
    <w:rsid w:val="00DD41F5"/>
    <w:rsid w:val="00DD5E8D"/>
    <w:rsid w:val="00DD7441"/>
    <w:rsid w:val="00DE026F"/>
    <w:rsid w:val="00DE09DF"/>
    <w:rsid w:val="00DE49EA"/>
    <w:rsid w:val="00DF213F"/>
    <w:rsid w:val="00DF5AA2"/>
    <w:rsid w:val="00DF6050"/>
    <w:rsid w:val="00DF7EEB"/>
    <w:rsid w:val="00E01118"/>
    <w:rsid w:val="00E05EE9"/>
    <w:rsid w:val="00E06E7D"/>
    <w:rsid w:val="00E130BC"/>
    <w:rsid w:val="00E131F9"/>
    <w:rsid w:val="00E1529A"/>
    <w:rsid w:val="00E15EB5"/>
    <w:rsid w:val="00E17A0B"/>
    <w:rsid w:val="00E2081A"/>
    <w:rsid w:val="00E20ABA"/>
    <w:rsid w:val="00E2195E"/>
    <w:rsid w:val="00E23561"/>
    <w:rsid w:val="00E23E74"/>
    <w:rsid w:val="00E24A41"/>
    <w:rsid w:val="00E24BB7"/>
    <w:rsid w:val="00E261CB"/>
    <w:rsid w:val="00E272E6"/>
    <w:rsid w:val="00E2772F"/>
    <w:rsid w:val="00E32CE9"/>
    <w:rsid w:val="00E341DA"/>
    <w:rsid w:val="00E34689"/>
    <w:rsid w:val="00E358BA"/>
    <w:rsid w:val="00E36513"/>
    <w:rsid w:val="00E36C54"/>
    <w:rsid w:val="00E376FC"/>
    <w:rsid w:val="00E45362"/>
    <w:rsid w:val="00E45806"/>
    <w:rsid w:val="00E47696"/>
    <w:rsid w:val="00E5072E"/>
    <w:rsid w:val="00E514E7"/>
    <w:rsid w:val="00E53ED7"/>
    <w:rsid w:val="00E54041"/>
    <w:rsid w:val="00E64AFA"/>
    <w:rsid w:val="00E65F38"/>
    <w:rsid w:val="00E71B81"/>
    <w:rsid w:val="00E7580D"/>
    <w:rsid w:val="00E77821"/>
    <w:rsid w:val="00E8244F"/>
    <w:rsid w:val="00E85D3A"/>
    <w:rsid w:val="00E86B78"/>
    <w:rsid w:val="00E966A8"/>
    <w:rsid w:val="00E97417"/>
    <w:rsid w:val="00EA2D5C"/>
    <w:rsid w:val="00EA31A7"/>
    <w:rsid w:val="00EB22F0"/>
    <w:rsid w:val="00EB5803"/>
    <w:rsid w:val="00EB62BC"/>
    <w:rsid w:val="00EC7713"/>
    <w:rsid w:val="00ED13F1"/>
    <w:rsid w:val="00ED2B32"/>
    <w:rsid w:val="00ED2E2A"/>
    <w:rsid w:val="00ED7BA1"/>
    <w:rsid w:val="00ED7FD3"/>
    <w:rsid w:val="00EE5EFC"/>
    <w:rsid w:val="00EE646F"/>
    <w:rsid w:val="00EF0871"/>
    <w:rsid w:val="00EF33C2"/>
    <w:rsid w:val="00EF4088"/>
    <w:rsid w:val="00EF460B"/>
    <w:rsid w:val="00F012D5"/>
    <w:rsid w:val="00F0398B"/>
    <w:rsid w:val="00F06EDB"/>
    <w:rsid w:val="00F122F3"/>
    <w:rsid w:val="00F141C3"/>
    <w:rsid w:val="00F15A29"/>
    <w:rsid w:val="00F16FC9"/>
    <w:rsid w:val="00F2303A"/>
    <w:rsid w:val="00F23545"/>
    <w:rsid w:val="00F27A1D"/>
    <w:rsid w:val="00F4521A"/>
    <w:rsid w:val="00F4657D"/>
    <w:rsid w:val="00F4660A"/>
    <w:rsid w:val="00F50DB0"/>
    <w:rsid w:val="00F51D20"/>
    <w:rsid w:val="00F52413"/>
    <w:rsid w:val="00F525B4"/>
    <w:rsid w:val="00F54681"/>
    <w:rsid w:val="00F57C6F"/>
    <w:rsid w:val="00F57E9A"/>
    <w:rsid w:val="00F621AC"/>
    <w:rsid w:val="00F63B3A"/>
    <w:rsid w:val="00F64978"/>
    <w:rsid w:val="00F659C3"/>
    <w:rsid w:val="00F65C9A"/>
    <w:rsid w:val="00F70E93"/>
    <w:rsid w:val="00F75FED"/>
    <w:rsid w:val="00F76AD9"/>
    <w:rsid w:val="00F807A4"/>
    <w:rsid w:val="00F83F00"/>
    <w:rsid w:val="00F84406"/>
    <w:rsid w:val="00F84BFA"/>
    <w:rsid w:val="00F8623C"/>
    <w:rsid w:val="00F94A56"/>
    <w:rsid w:val="00F95B62"/>
    <w:rsid w:val="00F95E1E"/>
    <w:rsid w:val="00F97B90"/>
    <w:rsid w:val="00FA19BC"/>
    <w:rsid w:val="00FA1F4A"/>
    <w:rsid w:val="00FA4053"/>
    <w:rsid w:val="00FA4208"/>
    <w:rsid w:val="00FA6A2F"/>
    <w:rsid w:val="00FA7425"/>
    <w:rsid w:val="00FB5A6E"/>
    <w:rsid w:val="00FB63ED"/>
    <w:rsid w:val="00FC17CB"/>
    <w:rsid w:val="00FC2E06"/>
    <w:rsid w:val="00FC6346"/>
    <w:rsid w:val="00FC6D5E"/>
    <w:rsid w:val="00FC7FB8"/>
    <w:rsid w:val="00FD034F"/>
    <w:rsid w:val="00FD05CB"/>
    <w:rsid w:val="00FD0D92"/>
    <w:rsid w:val="00FE11BE"/>
    <w:rsid w:val="00FE15B0"/>
    <w:rsid w:val="00FE2099"/>
    <w:rsid w:val="00FE342E"/>
    <w:rsid w:val="00FE378E"/>
    <w:rsid w:val="00FE439B"/>
    <w:rsid w:val="00FE4706"/>
    <w:rsid w:val="00FE6216"/>
    <w:rsid w:val="00FF0E0F"/>
    <w:rsid w:val="00FF2AB8"/>
    <w:rsid w:val="00FF49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d2d2d2,#cdcdcd,#c8c8c8"/>
    </o:shapedefaults>
    <o:shapelayout v:ext="edit">
      <o:idmap v:ext="edit" data="2"/>
    </o:shapelayout>
  </w:shapeDefaults>
  <w:decimalSymbol w:val="."/>
  <w:listSeparator w:val=","/>
  <w14:docId w14:val="20AC3C05"/>
  <w15:docId w15:val="{EBF34CFB-BD00-471A-AF3D-9464CCC6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7CE"/>
    <w:rPr>
      <w:rFonts w:ascii="Arial" w:hAnsi="Arial"/>
      <w:sz w:val="22"/>
      <w:lang w:eastAsia="en-GB"/>
    </w:rPr>
  </w:style>
  <w:style w:type="paragraph" w:styleId="Heading1">
    <w:name w:val="heading 1"/>
    <w:basedOn w:val="IcaoSoDTitle1Section"/>
    <w:next w:val="Normal"/>
    <w:qFormat/>
    <w:rsid w:val="00986C1D"/>
    <w:pPr>
      <w:numPr>
        <w:numId w:val="10"/>
      </w:numPr>
      <w:outlineLvl w:val="0"/>
    </w:pPr>
  </w:style>
  <w:style w:type="paragraph" w:styleId="Heading2">
    <w:name w:val="heading 2"/>
    <w:basedOn w:val="IcaoLevel2"/>
    <w:next w:val="Normal"/>
    <w:link w:val="Heading2Char"/>
    <w:qFormat/>
    <w:rsid w:val="00986C1D"/>
    <w:pPr>
      <w:numPr>
        <w:ilvl w:val="1"/>
        <w:numId w:val="10"/>
      </w:numPr>
      <w:tabs>
        <w:tab w:val="clear" w:pos="1418"/>
      </w:tabs>
      <w:outlineLvl w:val="1"/>
    </w:pPr>
    <w:rPr>
      <w:noProof/>
    </w:rPr>
  </w:style>
  <w:style w:type="paragraph" w:styleId="Heading3">
    <w:name w:val="heading 3"/>
    <w:basedOn w:val="Heading2"/>
    <w:next w:val="BodyText"/>
    <w:qFormat/>
    <w:rsid w:val="003C3637"/>
    <w:pPr>
      <w:numPr>
        <w:ilvl w:val="2"/>
      </w:numPr>
      <w:outlineLvl w:val="2"/>
    </w:pPr>
  </w:style>
  <w:style w:type="paragraph" w:styleId="Heading4">
    <w:name w:val="heading 4"/>
    <w:basedOn w:val="Heading3"/>
    <w:next w:val="Normal"/>
    <w:qFormat/>
    <w:rsid w:val="000D4107"/>
    <w:pPr>
      <w:numPr>
        <w:ilvl w:val="3"/>
      </w:numPr>
      <w:outlineLvl w:val="3"/>
    </w:pPr>
  </w:style>
  <w:style w:type="paragraph" w:styleId="Heading5">
    <w:name w:val="heading 5"/>
    <w:basedOn w:val="Heading4"/>
    <w:next w:val="BodyText"/>
    <w:qFormat/>
    <w:rsid w:val="000D4107"/>
    <w:pPr>
      <w:numPr>
        <w:ilvl w:val="4"/>
      </w:numPr>
      <w:outlineLvl w:val="4"/>
    </w:pPr>
  </w:style>
  <w:style w:type="paragraph" w:styleId="Heading6">
    <w:name w:val="heading 6"/>
    <w:basedOn w:val="HeadingBase"/>
    <w:next w:val="BodyText"/>
    <w:pPr>
      <w:numPr>
        <w:ilvl w:val="5"/>
        <w:numId w:val="2"/>
      </w:numPr>
      <w:outlineLvl w:val="5"/>
    </w:pPr>
    <w:rPr>
      <w:rFonts w:ascii="Times New Roman" w:hAnsi="Times New Roman"/>
      <w:i/>
      <w:sz w:val="20"/>
    </w:rPr>
  </w:style>
  <w:style w:type="paragraph" w:styleId="Heading7">
    <w:name w:val="heading 7"/>
    <w:basedOn w:val="HeadingBase"/>
    <w:next w:val="BodyText"/>
    <w:pPr>
      <w:numPr>
        <w:ilvl w:val="6"/>
        <w:numId w:val="2"/>
      </w:numPr>
      <w:outlineLvl w:val="6"/>
    </w:pPr>
    <w:rPr>
      <w:rFonts w:ascii="Times New Roman" w:hAnsi="Times New Roman"/>
      <w:sz w:val="20"/>
    </w:rPr>
  </w:style>
  <w:style w:type="paragraph" w:styleId="Heading8">
    <w:name w:val="heading 8"/>
    <w:basedOn w:val="HeadingBase"/>
    <w:next w:val="BodyText"/>
    <w:pPr>
      <w:numPr>
        <w:ilvl w:val="7"/>
        <w:numId w:val="2"/>
      </w:numPr>
      <w:outlineLvl w:val="7"/>
    </w:pPr>
    <w:rPr>
      <w:i/>
      <w:sz w:val="18"/>
    </w:rPr>
  </w:style>
  <w:style w:type="paragraph" w:styleId="Heading9">
    <w:name w:val="heading 9"/>
    <w:basedOn w:val="HeadingBase"/>
    <w:next w:val="BodyText"/>
    <w:pPr>
      <w:numPr>
        <w:ilvl w:val="8"/>
        <w:numId w:val="2"/>
      </w:numPr>
      <w:outlineLvl w:val="8"/>
    </w:pPr>
    <w:rPr>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ase">
    <w:name w:val="Heading Base"/>
    <w:basedOn w:val="Normal"/>
    <w:next w:val="BodyText"/>
    <w:pPr>
      <w:keepNext/>
      <w:keepLines/>
      <w:spacing w:before="140" w:line="220" w:lineRule="atLeast"/>
    </w:pPr>
    <w:rPr>
      <w:spacing w:val="-4"/>
      <w:kern w:val="28"/>
    </w:rPr>
  </w:style>
  <w:style w:type="paragraph" w:styleId="BodyText">
    <w:name w:val="Body Text"/>
    <w:basedOn w:val="Normal"/>
    <w:pPr>
      <w:spacing w:after="220" w:line="220" w:lineRule="atLeast"/>
    </w:pPr>
  </w:style>
  <w:style w:type="paragraph" w:customStyle="1" w:styleId="FootnoteBase">
    <w:name w:val="Footnote Base"/>
    <w:basedOn w:val="Normal"/>
    <w:pPr>
      <w:keepLines/>
      <w:spacing w:line="220" w:lineRule="atLeast"/>
    </w:pPr>
    <w:rPr>
      <w:sz w:val="18"/>
    </w:rPr>
  </w:style>
  <w:style w:type="paragraph" w:customStyle="1" w:styleId="BlockQuotation">
    <w:name w:val="Block Quotation"/>
    <w:basedOn w:val="BodyText"/>
    <w:pPr>
      <w:keepLines/>
      <w:pBdr>
        <w:left w:val="single" w:sz="36" w:space="3" w:color="808080"/>
        <w:bottom w:val="single" w:sz="48" w:space="3" w:color="FFFFFF"/>
      </w:pBdr>
      <w:spacing w:after="60"/>
      <w:ind w:left="1418"/>
    </w:pPr>
    <w:rPr>
      <w:i/>
    </w:rPr>
  </w:style>
  <w:style w:type="paragraph" w:customStyle="1" w:styleId="BodyTextKeep">
    <w:name w:val="Body Text Keep"/>
    <w:basedOn w:val="BodyText"/>
    <w:pPr>
      <w:keepNext/>
    </w:pPr>
  </w:style>
  <w:style w:type="paragraph" w:styleId="Caption">
    <w:name w:val="caption"/>
    <w:basedOn w:val="Picture"/>
    <w:next w:val="BodyText"/>
    <w:pPr>
      <w:spacing w:before="120" w:after="120" w:line="220" w:lineRule="atLeast"/>
      <w:jc w:val="center"/>
    </w:pPr>
    <w:rPr>
      <w:b/>
      <w:i/>
    </w:rPr>
  </w:style>
  <w:style w:type="paragraph" w:customStyle="1" w:styleId="Picture">
    <w:name w:val="Picture"/>
    <w:basedOn w:val="Normal"/>
    <w:next w:val="Caption"/>
    <w:pPr>
      <w:keepNext/>
    </w:pPr>
  </w:style>
  <w:style w:type="paragraph" w:customStyle="1" w:styleId="DocumentLabel">
    <w:name w:val="Document Label"/>
    <w:basedOn w:val="HeadingBase"/>
    <w:next w:val="BodyText"/>
    <w:pPr>
      <w:spacing w:before="160"/>
    </w:pPr>
    <w:rPr>
      <w:rFonts w:ascii="Times New Roman" w:hAnsi="Times New Roman"/>
      <w:spacing w:val="-30"/>
      <w:sz w:val="60"/>
    </w:rPr>
  </w:style>
  <w:style w:type="character" w:styleId="EndnoteReference">
    <w:name w:val="endnote reference"/>
    <w:semiHidden/>
    <w:rPr>
      <w:b/>
      <w:vertAlign w:val="superscript"/>
    </w:rPr>
  </w:style>
  <w:style w:type="paragraph" w:styleId="EndnoteText">
    <w:name w:val="endnote text"/>
    <w:basedOn w:val="FootnoteBase"/>
    <w:semiHidden/>
  </w:style>
  <w:style w:type="paragraph" w:styleId="Footer">
    <w:name w:val="footer"/>
    <w:basedOn w:val="HeaderBase"/>
    <w:link w:val="FooterChar"/>
    <w:uiPriority w:val="99"/>
  </w:style>
  <w:style w:type="paragraph" w:customStyle="1" w:styleId="HeaderBase">
    <w:name w:val="Header Base"/>
    <w:basedOn w:val="Normal"/>
    <w:pPr>
      <w:keepLines/>
      <w:tabs>
        <w:tab w:val="center" w:pos="4320"/>
        <w:tab w:val="right" w:pos="8640"/>
      </w:tabs>
    </w:pPr>
    <w:rPr>
      <w:spacing w:val="-4"/>
    </w:rPr>
  </w:style>
  <w:style w:type="character" w:styleId="FootnoteReference">
    <w:name w:val="footnote reference"/>
    <w:semiHidden/>
    <w:rPr>
      <w:vertAlign w:val="superscript"/>
    </w:rPr>
  </w:style>
  <w:style w:type="paragraph" w:styleId="FootnoteText">
    <w:name w:val="footnote text"/>
    <w:basedOn w:val="FootnoteBase"/>
    <w:semiHidden/>
  </w:style>
  <w:style w:type="paragraph" w:styleId="Header">
    <w:name w:val="header"/>
    <w:basedOn w:val="HeaderBase"/>
  </w:style>
  <w:style w:type="paragraph" w:styleId="Index1">
    <w:name w:val="index 1"/>
    <w:basedOn w:val="IndexBase"/>
    <w:semiHidden/>
    <w:pPr>
      <w:spacing w:line="240" w:lineRule="auto"/>
      <w:ind w:left="240" w:hanging="240"/>
    </w:pPr>
    <w:rPr>
      <w:rFonts w:ascii="Times New Roman" w:hAnsi="Times New Roman"/>
      <w:sz w:val="20"/>
    </w:rPr>
  </w:style>
  <w:style w:type="paragraph" w:customStyle="1" w:styleId="IndexBase">
    <w:name w:val="Index Base"/>
    <w:basedOn w:val="Normal"/>
    <w:pPr>
      <w:spacing w:line="220" w:lineRule="atLeast"/>
      <w:ind w:left="360"/>
    </w:pPr>
  </w:style>
  <w:style w:type="paragraph" w:styleId="Index2">
    <w:name w:val="index 2"/>
    <w:basedOn w:val="IndexBase"/>
    <w:semiHidden/>
    <w:pPr>
      <w:spacing w:line="240" w:lineRule="auto"/>
      <w:ind w:left="480" w:hanging="240"/>
    </w:pPr>
    <w:rPr>
      <w:rFonts w:ascii="Times New Roman" w:hAnsi="Times New Roman"/>
      <w:sz w:val="20"/>
    </w:rPr>
  </w:style>
  <w:style w:type="paragraph" w:styleId="Index3">
    <w:name w:val="index 3"/>
    <w:basedOn w:val="IndexBase"/>
    <w:semiHidden/>
    <w:pPr>
      <w:spacing w:line="240" w:lineRule="auto"/>
      <w:ind w:left="720" w:hanging="240"/>
    </w:pPr>
    <w:rPr>
      <w:rFonts w:ascii="Times New Roman" w:hAnsi="Times New Roman"/>
      <w:sz w:val="20"/>
    </w:rPr>
  </w:style>
  <w:style w:type="paragraph" w:styleId="Index4">
    <w:name w:val="index 4"/>
    <w:basedOn w:val="IndexBase"/>
    <w:semiHidden/>
    <w:pPr>
      <w:spacing w:line="240" w:lineRule="auto"/>
      <w:ind w:left="960" w:hanging="240"/>
    </w:pPr>
    <w:rPr>
      <w:rFonts w:ascii="Times New Roman" w:hAnsi="Times New Roman"/>
      <w:sz w:val="20"/>
    </w:rPr>
  </w:style>
  <w:style w:type="paragraph" w:styleId="Index5">
    <w:name w:val="index 5"/>
    <w:basedOn w:val="IndexBase"/>
    <w:semiHidden/>
    <w:pPr>
      <w:spacing w:line="240" w:lineRule="auto"/>
      <w:ind w:left="1200" w:hanging="240"/>
    </w:pPr>
    <w:rPr>
      <w:rFonts w:ascii="Times New Roman" w:hAnsi="Times New Roman"/>
      <w:sz w:val="20"/>
    </w:rPr>
  </w:style>
  <w:style w:type="paragraph" w:styleId="IndexHeading">
    <w:name w:val="index heading"/>
    <w:basedOn w:val="HeadingBase"/>
    <w:next w:val="Index1"/>
    <w:semiHidden/>
    <w:pPr>
      <w:keepNext w:val="0"/>
      <w:keepLines w:val="0"/>
      <w:spacing w:before="120" w:after="120" w:line="240" w:lineRule="auto"/>
    </w:pPr>
    <w:rPr>
      <w:rFonts w:ascii="Times New Roman" w:hAnsi="Times New Roman"/>
      <w:b/>
      <w:i/>
      <w:spacing w:val="0"/>
      <w:kern w:val="0"/>
      <w:sz w:val="20"/>
    </w:rPr>
  </w:style>
  <w:style w:type="paragraph" w:customStyle="1" w:styleId="SectionHeading">
    <w:name w:val="Section Heading"/>
    <w:basedOn w:val="Heading1"/>
  </w:style>
  <w:style w:type="character" w:customStyle="1" w:styleId="Lead-inEmphasis">
    <w:name w:val="Lead-in Emphasis"/>
    <w:rPr>
      <w:rFonts w:ascii="Arial" w:hAnsi="Arial"/>
      <w:b/>
      <w:spacing w:val="-4"/>
    </w:rPr>
  </w:style>
  <w:style w:type="character" w:styleId="LineNumber">
    <w:name w:val="line number"/>
    <w:rPr>
      <w:sz w:val="18"/>
    </w:rPr>
  </w:style>
  <w:style w:type="paragraph" w:styleId="List">
    <w:name w:val="List"/>
    <w:basedOn w:val="BodyText"/>
    <w:pPr>
      <w:ind w:left="1440" w:hanging="360"/>
    </w:pPr>
  </w:style>
  <w:style w:type="paragraph" w:styleId="ListBullet">
    <w:name w:val="List Bullet"/>
    <w:basedOn w:val="List"/>
    <w:pPr>
      <w:numPr>
        <w:numId w:val="1"/>
      </w:numPr>
      <w:ind w:right="720"/>
    </w:pPr>
  </w:style>
  <w:style w:type="paragraph" w:styleId="ListNumber">
    <w:name w:val="List Number"/>
    <w:basedOn w:val="List"/>
    <w:pPr>
      <w:ind w:left="1800" w:right="720"/>
    </w:pPr>
  </w:style>
  <w:style w:type="paragraph" w:styleId="MacroText">
    <w:name w:val="macro"/>
    <w:basedOn w:val="Normal"/>
    <w:semiHidden/>
    <w:rPr>
      <w:rFonts w:ascii="Courier New" w:hAnsi="Courier New"/>
    </w:rPr>
  </w:style>
  <w:style w:type="character" w:styleId="PageNumber">
    <w:name w:val="page number"/>
    <w:rPr>
      <w:rFonts w:ascii="Arial" w:hAnsi="Arial"/>
      <w:b/>
      <w:sz w:val="18"/>
    </w:rPr>
  </w:style>
  <w:style w:type="paragraph" w:customStyle="1" w:styleId="SubtitleCover">
    <w:name w:val="Subtitle Cover"/>
    <w:basedOn w:val="TitleCover"/>
    <w:next w:val="BodyText"/>
    <w:pPr>
      <w:spacing w:before="1520"/>
      <w:ind w:right="1680"/>
    </w:pPr>
    <w:rPr>
      <w:rFonts w:ascii="Times New Roman" w:hAnsi="Times New Roman"/>
      <w:b w:val="0"/>
      <w:i/>
      <w:spacing w:val="-20"/>
      <w:sz w:val="40"/>
    </w:rPr>
  </w:style>
  <w:style w:type="paragraph" w:customStyle="1" w:styleId="TitleCover">
    <w:name w:val="Title Cover"/>
    <w:basedOn w:val="HeadingBase"/>
    <w:next w:val="SubtitleCover"/>
    <w:pPr>
      <w:spacing w:before="1800" w:line="240" w:lineRule="atLeast"/>
    </w:pPr>
    <w:rPr>
      <w:b/>
      <w:spacing w:val="-48"/>
      <w:sz w:val="72"/>
    </w:rPr>
  </w:style>
  <w:style w:type="character" w:customStyle="1" w:styleId="Superscript">
    <w:name w:val="Superscript"/>
    <w:rPr>
      <w:b/>
      <w:vertAlign w:val="superscript"/>
    </w:rPr>
  </w:style>
  <w:style w:type="paragraph" w:customStyle="1" w:styleId="TOCBase">
    <w:name w:val="TOC Base"/>
    <w:basedOn w:val="Normal"/>
    <w:pPr>
      <w:tabs>
        <w:tab w:val="right" w:leader="dot" w:pos="6480"/>
      </w:tabs>
      <w:spacing w:after="220" w:line="220" w:lineRule="atLeast"/>
    </w:pPr>
  </w:style>
  <w:style w:type="paragraph" w:styleId="TableofFigures">
    <w:name w:val="table of figures"/>
    <w:basedOn w:val="TOCBase"/>
    <w:semiHidden/>
    <w:pPr>
      <w:ind w:left="1440" w:hanging="360"/>
    </w:pPr>
  </w:style>
  <w:style w:type="paragraph" w:styleId="TOC1">
    <w:name w:val="toc 1"/>
    <w:basedOn w:val="TOCBase"/>
    <w:uiPriority w:val="39"/>
    <w:pPr>
      <w:tabs>
        <w:tab w:val="clear" w:pos="6480"/>
        <w:tab w:val="left" w:pos="567"/>
        <w:tab w:val="left" w:pos="851"/>
        <w:tab w:val="right" w:leader="dot" w:pos="9072"/>
      </w:tabs>
      <w:spacing w:after="60"/>
      <w:ind w:left="567" w:right="567"/>
    </w:pPr>
    <w:rPr>
      <w:b/>
      <w:noProof/>
      <w:spacing w:val="-4"/>
    </w:rPr>
  </w:style>
  <w:style w:type="paragraph" w:styleId="TOC2">
    <w:name w:val="toc 2"/>
    <w:basedOn w:val="TOCBase"/>
    <w:uiPriority w:val="39"/>
    <w:pPr>
      <w:tabs>
        <w:tab w:val="clear" w:pos="6480"/>
        <w:tab w:val="left" w:pos="1418"/>
        <w:tab w:val="right" w:leader="dot" w:pos="9072"/>
      </w:tabs>
      <w:spacing w:after="60"/>
      <w:ind w:left="851" w:right="567"/>
    </w:pPr>
    <w:rPr>
      <w:noProof/>
    </w:rPr>
  </w:style>
  <w:style w:type="paragraph" w:styleId="TOC3">
    <w:name w:val="toc 3"/>
    <w:basedOn w:val="TOCBase"/>
    <w:semiHidden/>
    <w:rsid w:val="00FC7FB8"/>
    <w:pPr>
      <w:tabs>
        <w:tab w:val="clear" w:pos="6480"/>
        <w:tab w:val="right" w:leader="dot" w:pos="9072"/>
      </w:tabs>
      <w:spacing w:after="60"/>
      <w:ind w:left="851"/>
    </w:pPr>
  </w:style>
  <w:style w:type="paragraph" w:styleId="TOC4">
    <w:name w:val="toc 4"/>
    <w:basedOn w:val="TOCBase"/>
    <w:semiHidden/>
  </w:style>
  <w:style w:type="paragraph" w:styleId="TOC5">
    <w:name w:val="toc 5"/>
    <w:basedOn w:val="TOCBase"/>
    <w:semiHidden/>
  </w:style>
  <w:style w:type="paragraph" w:customStyle="1" w:styleId="SectionLabel">
    <w:name w:val="Section Label"/>
    <w:basedOn w:val="HeadingBase"/>
    <w:next w:val="BodyText"/>
    <w:pPr>
      <w:spacing w:before="400" w:after="440"/>
    </w:pPr>
    <w:rPr>
      <w:rFonts w:ascii="Times New Roman" w:hAnsi="Times New Roman"/>
      <w:spacing w:val="-30"/>
      <w:sz w:val="60"/>
    </w:rPr>
  </w:style>
  <w:style w:type="paragraph" w:customStyle="1" w:styleId="FooterFirst">
    <w:name w:val="Footer First"/>
    <w:basedOn w:val="Footer"/>
    <w:pPr>
      <w:pBdr>
        <w:bottom w:val="single" w:sz="6" w:space="1" w:color="auto"/>
      </w:pBdr>
      <w:spacing w:before="600"/>
    </w:pPr>
    <w:rPr>
      <w:b/>
    </w:rPr>
  </w:style>
  <w:style w:type="paragraph" w:customStyle="1" w:styleId="FooterEven">
    <w:name w:val="Footer Even"/>
    <w:basedOn w:val="Footer"/>
    <w:pPr>
      <w:pBdr>
        <w:bottom w:val="single" w:sz="6" w:space="1" w:color="auto"/>
      </w:pBdr>
      <w:spacing w:before="600"/>
    </w:pPr>
    <w:rPr>
      <w:b/>
    </w:rPr>
  </w:style>
  <w:style w:type="paragraph" w:customStyle="1" w:styleId="FooterOdd">
    <w:name w:val="Footer Odd"/>
    <w:basedOn w:val="Footer"/>
    <w:pPr>
      <w:pBdr>
        <w:bottom w:val="single" w:sz="6" w:space="1" w:color="auto"/>
      </w:pBdr>
      <w:spacing w:before="600"/>
    </w:pPr>
    <w:rPr>
      <w:b/>
    </w:rPr>
  </w:style>
  <w:style w:type="paragraph" w:customStyle="1" w:styleId="HeaderFirst">
    <w:name w:val="Header First"/>
    <w:basedOn w:val="Header"/>
  </w:style>
  <w:style w:type="paragraph" w:customStyle="1" w:styleId="HeaderEven">
    <w:name w:val="Header Even"/>
    <w:basedOn w:val="Header"/>
  </w:style>
  <w:style w:type="paragraph" w:customStyle="1" w:styleId="HeaderOdd">
    <w:name w:val="Header Odd"/>
    <w:basedOn w:val="Header"/>
  </w:style>
  <w:style w:type="paragraph" w:customStyle="1" w:styleId="ChapterLabel">
    <w:name w:val="Chapter Label"/>
    <w:basedOn w:val="HeadingBase"/>
    <w:next w:val="ChapterTitle"/>
    <w:pPr>
      <w:spacing w:before="770" w:after="440"/>
    </w:pPr>
    <w:rPr>
      <w:rFonts w:ascii="Times New Roman" w:hAnsi="Times New Roman"/>
      <w:spacing w:val="-30"/>
      <w:sz w:val="60"/>
    </w:rPr>
  </w:style>
  <w:style w:type="paragraph" w:customStyle="1" w:styleId="ChapterTitle">
    <w:name w:val="Chapter Title"/>
    <w:basedOn w:val="HeadingBase"/>
    <w:next w:val="ChapterSubtitle"/>
    <w:pPr>
      <w:spacing w:before="720" w:after="400" w:line="240" w:lineRule="auto"/>
      <w:ind w:right="2160"/>
    </w:pPr>
    <w:rPr>
      <w:rFonts w:ascii="Times New Roman" w:hAnsi="Times New Roman"/>
      <w:spacing w:val="-40"/>
      <w:sz w:val="60"/>
    </w:rPr>
  </w:style>
  <w:style w:type="paragraph" w:customStyle="1" w:styleId="ChapterSubtitle">
    <w:name w:val="Chapter Subtitle"/>
    <w:basedOn w:val="ChapterTitle"/>
    <w:next w:val="BodyText"/>
    <w:pPr>
      <w:spacing w:before="0" w:line="400" w:lineRule="atLeast"/>
    </w:pPr>
    <w:rPr>
      <w:i/>
      <w:spacing w:val="-14"/>
      <w:sz w:val="34"/>
    </w:rPr>
  </w:style>
  <w:style w:type="paragraph" w:styleId="BodyTextIndent">
    <w:name w:val="Body Text Indent"/>
    <w:basedOn w:val="BodyText"/>
    <w:pPr>
      <w:ind w:left="1440"/>
    </w:pPr>
  </w:style>
  <w:style w:type="paragraph" w:styleId="Subtitle">
    <w:name w:val="Subtitle"/>
    <w:basedOn w:val="Title"/>
    <w:next w:val="BodyText"/>
    <w:pPr>
      <w:spacing w:before="0" w:after="160" w:line="400" w:lineRule="atLeast"/>
    </w:pPr>
    <w:rPr>
      <w:i/>
      <w:spacing w:val="-14"/>
      <w:sz w:val="34"/>
    </w:rPr>
  </w:style>
  <w:style w:type="paragraph" w:styleId="Title">
    <w:name w:val="Title"/>
    <w:basedOn w:val="HeadingBase"/>
    <w:next w:val="Subtitle"/>
    <w:pPr>
      <w:spacing w:before="660" w:after="400" w:line="540" w:lineRule="atLeast"/>
      <w:ind w:right="2160"/>
    </w:pPr>
    <w:rPr>
      <w:b/>
      <w:spacing w:val="0"/>
      <w:sz w:val="28"/>
    </w:rPr>
  </w:style>
  <w:style w:type="paragraph" w:styleId="ListNumber5">
    <w:name w:val="List Number 5"/>
    <w:basedOn w:val="ListNumber"/>
    <w:pPr>
      <w:ind w:left="3240"/>
    </w:pPr>
  </w:style>
  <w:style w:type="paragraph" w:styleId="ListNumber4">
    <w:name w:val="List Number 4"/>
    <w:basedOn w:val="ListNumber"/>
    <w:pPr>
      <w:ind w:left="2880"/>
    </w:pPr>
  </w:style>
  <w:style w:type="paragraph" w:styleId="ListNumber3">
    <w:name w:val="List Number 3"/>
    <w:basedOn w:val="ListNumber"/>
    <w:pPr>
      <w:ind w:left="2520"/>
    </w:pPr>
  </w:style>
  <w:style w:type="paragraph" w:styleId="ListBullet5">
    <w:name w:val="List Bullet 5"/>
    <w:basedOn w:val="ListBullet"/>
    <w:pPr>
      <w:ind w:left="3240"/>
    </w:pPr>
  </w:style>
  <w:style w:type="paragraph" w:styleId="ListBullet4">
    <w:name w:val="List Bullet 4"/>
    <w:basedOn w:val="ListBullet"/>
    <w:pPr>
      <w:ind w:left="2880"/>
    </w:pPr>
  </w:style>
  <w:style w:type="paragraph" w:styleId="ListBullet3">
    <w:name w:val="List Bullet 3"/>
    <w:basedOn w:val="ListBullet"/>
    <w:pPr>
      <w:ind w:left="2520"/>
    </w:pPr>
  </w:style>
  <w:style w:type="paragraph" w:styleId="ListBullet2">
    <w:name w:val="List Bullet 2"/>
    <w:basedOn w:val="ListBullet"/>
    <w:pPr>
      <w:ind w:left="2160"/>
    </w:pPr>
  </w:style>
  <w:style w:type="paragraph" w:styleId="List5">
    <w:name w:val="List 5"/>
    <w:basedOn w:val="List"/>
    <w:pPr>
      <w:ind w:left="2880"/>
    </w:pPr>
  </w:style>
  <w:style w:type="paragraph" w:styleId="List4">
    <w:name w:val="List 4"/>
    <w:basedOn w:val="List"/>
    <w:pPr>
      <w:ind w:left="2520"/>
    </w:pPr>
  </w:style>
  <w:style w:type="paragraph" w:styleId="List3">
    <w:name w:val="List 3"/>
    <w:basedOn w:val="List"/>
    <w:pPr>
      <w:ind w:left="2160"/>
    </w:pPr>
  </w:style>
  <w:style w:type="paragraph" w:styleId="List2">
    <w:name w:val="List 2"/>
    <w:basedOn w:val="List"/>
    <w:pPr>
      <w:ind w:left="1800"/>
    </w:pPr>
  </w:style>
  <w:style w:type="character" w:styleId="Emphasis">
    <w:name w:val="Emphasis"/>
    <w:rPr>
      <w:rFonts w:ascii="Arial" w:hAnsi="Arial"/>
      <w:b/>
      <w:spacing w:val="-4"/>
    </w:rPr>
  </w:style>
  <w:style w:type="character" w:styleId="CommentReference">
    <w:name w:val="annotation reference"/>
    <w:semiHidden/>
    <w:rPr>
      <w:sz w:val="16"/>
    </w:rPr>
  </w:style>
  <w:style w:type="paragraph" w:styleId="CommentText">
    <w:name w:val="annotation text"/>
    <w:basedOn w:val="FootnoteBase"/>
    <w:semiHidden/>
  </w:style>
  <w:style w:type="paragraph" w:styleId="ListNumber2">
    <w:name w:val="List Number 2"/>
    <w:basedOn w:val="ListNumber"/>
    <w:pPr>
      <w:ind w:left="2160"/>
    </w:pPr>
  </w:style>
  <w:style w:type="paragraph" w:styleId="ListContinue">
    <w:name w:val="List Continue"/>
    <w:basedOn w:val="List"/>
    <w:pPr>
      <w:ind w:left="1800" w:firstLine="0"/>
    </w:pPr>
  </w:style>
  <w:style w:type="paragraph" w:styleId="ListContinue2">
    <w:name w:val="List Continue 2"/>
    <w:basedOn w:val="ListContinue"/>
    <w:pPr>
      <w:ind w:left="2160"/>
    </w:pPr>
  </w:style>
  <w:style w:type="paragraph" w:styleId="ListContinue3">
    <w:name w:val="List Continue 3"/>
    <w:basedOn w:val="ListContinue"/>
    <w:pPr>
      <w:ind w:left="2520"/>
    </w:pPr>
  </w:style>
  <w:style w:type="paragraph" w:styleId="ListContinue4">
    <w:name w:val="List Continue 4"/>
    <w:basedOn w:val="ListContinue"/>
    <w:pPr>
      <w:ind w:left="2880"/>
    </w:pPr>
  </w:style>
  <w:style w:type="paragraph" w:styleId="ListContinue5">
    <w:name w:val="List Continue 5"/>
    <w:basedOn w:val="ListContinue"/>
    <w:pPr>
      <w:ind w:left="3240"/>
    </w:pPr>
  </w:style>
  <w:style w:type="paragraph" w:styleId="NormalIndent">
    <w:name w:val="Normal Indent"/>
    <w:basedOn w:val="Normal"/>
    <w:pPr>
      <w:ind w:left="1440"/>
    </w:pPr>
  </w:style>
  <w:style w:type="paragraph" w:customStyle="1" w:styleId="ReturnAddress">
    <w:name w:val="Return Address"/>
    <w:basedOn w:val="Normal"/>
    <w:pPr>
      <w:keepLines/>
      <w:framePr w:w="2160" w:h="1195" w:wrap="notBeside" w:vAnchor="page" w:hAnchor="margin" w:xAlign="right" w:y="678" w:anchorLock="1"/>
      <w:spacing w:line="220" w:lineRule="atLeast"/>
    </w:pPr>
    <w:rPr>
      <w:sz w:val="16"/>
    </w:rPr>
  </w:style>
  <w:style w:type="character" w:customStyle="1" w:styleId="Slogan">
    <w:name w:val="Slogan"/>
    <w:rPr>
      <w:i/>
      <w:spacing w:val="-6"/>
      <w:sz w:val="24"/>
    </w:rPr>
  </w:style>
  <w:style w:type="paragraph" w:customStyle="1" w:styleId="CompanyName">
    <w:name w:val="Company Name"/>
    <w:basedOn w:val="DocumentLabel"/>
    <w:pPr>
      <w:spacing w:before="0"/>
    </w:pPr>
  </w:style>
  <w:style w:type="paragraph" w:customStyle="1" w:styleId="PartLabel">
    <w:name w:val="Part Label"/>
    <w:basedOn w:val="HeadingBase"/>
    <w:next w:val="Normal"/>
    <w:pPr>
      <w:spacing w:before="400" w:after="440"/>
    </w:pPr>
    <w:rPr>
      <w:rFonts w:ascii="Times New Roman" w:hAnsi="Times New Roman"/>
      <w:spacing w:val="-30"/>
      <w:sz w:val="60"/>
    </w:rPr>
  </w:style>
  <w:style w:type="paragraph" w:customStyle="1" w:styleId="PartSubtitle">
    <w:name w:val="Part Subtitle"/>
    <w:basedOn w:val="Normal"/>
    <w:next w:val="BodyText"/>
    <w:pPr>
      <w:keepNext/>
      <w:keepLines/>
      <w:spacing w:after="160" w:line="400" w:lineRule="atLeast"/>
      <w:ind w:right="2160"/>
    </w:pPr>
    <w:rPr>
      <w:i/>
      <w:spacing w:val="-14"/>
      <w:kern w:val="28"/>
      <w:sz w:val="34"/>
    </w:rPr>
  </w:style>
  <w:style w:type="paragraph" w:customStyle="1" w:styleId="PartTitle">
    <w:name w:val="Part Title"/>
    <w:basedOn w:val="HeadingBase"/>
    <w:next w:val="PartSubtitle"/>
    <w:pPr>
      <w:spacing w:before="660" w:after="400" w:line="540" w:lineRule="atLeast"/>
      <w:ind w:right="2160"/>
    </w:pPr>
    <w:rPr>
      <w:rFonts w:ascii="Times New Roman" w:hAnsi="Times New Roman"/>
      <w:spacing w:val="-40"/>
      <w:sz w:val="60"/>
    </w:rPr>
  </w:style>
  <w:style w:type="paragraph" w:styleId="TableofAuthorities">
    <w:name w:val="table of authorities"/>
    <w:basedOn w:val="Normal"/>
    <w:semiHidden/>
    <w:pPr>
      <w:tabs>
        <w:tab w:val="right" w:leader="dot" w:pos="7560"/>
      </w:tabs>
      <w:ind w:left="1440" w:hanging="360"/>
    </w:pPr>
  </w:style>
  <w:style w:type="paragraph" w:styleId="TOAHeading">
    <w:name w:val="toa heading"/>
    <w:basedOn w:val="Normal"/>
    <w:next w:val="TableofAuthorities"/>
    <w:semiHidden/>
    <w:pPr>
      <w:keepNext/>
      <w:spacing w:before="240" w:after="120" w:line="360" w:lineRule="exact"/>
    </w:pPr>
    <w:rPr>
      <w:b/>
      <w:kern w:val="28"/>
      <w:sz w:val="28"/>
    </w:rPr>
  </w:style>
  <w:style w:type="paragraph" w:styleId="MessageHeader">
    <w:name w:val="Message Header"/>
    <w:basedOn w:val="BodyText"/>
    <w:pPr>
      <w:keepLines/>
      <w:tabs>
        <w:tab w:val="left" w:pos="3600"/>
        <w:tab w:val="left" w:pos="4680"/>
      </w:tabs>
      <w:spacing w:after="120" w:line="280" w:lineRule="exact"/>
      <w:ind w:right="2160" w:hanging="1080"/>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diagram">
    <w:name w:val="diagram"/>
    <w:basedOn w:val="Normal"/>
    <w:pPr>
      <w:widowControl w:val="0"/>
      <w:spacing w:before="120"/>
    </w:pPr>
  </w:style>
  <w:style w:type="paragraph" w:customStyle="1" w:styleId="Paragraph">
    <w:name w:val="Paragraph"/>
    <w:basedOn w:val="Normal"/>
    <w:pPr>
      <w:spacing w:before="120" w:after="120"/>
      <w:ind w:left="1418"/>
    </w:pPr>
  </w:style>
  <w:style w:type="paragraph" w:styleId="Index6">
    <w:name w:val="index 6"/>
    <w:basedOn w:val="Normal"/>
    <w:next w:val="Normal"/>
    <w:autoRedefine/>
    <w:semiHidden/>
    <w:pPr>
      <w:ind w:left="1440" w:hanging="240"/>
    </w:pPr>
    <w:rPr>
      <w:rFonts w:ascii="Times New Roman" w:hAnsi="Times New Roman"/>
      <w:sz w:val="20"/>
    </w:rPr>
  </w:style>
  <w:style w:type="paragraph" w:styleId="Index7">
    <w:name w:val="index 7"/>
    <w:basedOn w:val="Normal"/>
    <w:next w:val="Normal"/>
    <w:autoRedefine/>
    <w:semiHidden/>
    <w:pPr>
      <w:ind w:left="1680" w:hanging="240"/>
    </w:pPr>
    <w:rPr>
      <w:rFonts w:ascii="Times New Roman" w:hAnsi="Times New Roman"/>
      <w:sz w:val="20"/>
    </w:rPr>
  </w:style>
  <w:style w:type="paragraph" w:styleId="Index8">
    <w:name w:val="index 8"/>
    <w:basedOn w:val="Normal"/>
    <w:next w:val="Normal"/>
    <w:autoRedefine/>
    <w:semiHidden/>
    <w:pPr>
      <w:ind w:left="1920" w:hanging="240"/>
    </w:pPr>
    <w:rPr>
      <w:rFonts w:ascii="Times New Roman" w:hAnsi="Times New Roman"/>
      <w:sz w:val="20"/>
    </w:rPr>
  </w:style>
  <w:style w:type="paragraph" w:styleId="Index9">
    <w:name w:val="index 9"/>
    <w:basedOn w:val="Normal"/>
    <w:next w:val="Normal"/>
    <w:autoRedefine/>
    <w:semiHidden/>
    <w:pPr>
      <w:ind w:left="2160" w:hanging="240"/>
    </w:pPr>
    <w:rPr>
      <w:rFonts w:ascii="Times New Roman" w:hAnsi="Times New Roman"/>
      <w:sz w:val="20"/>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bulletblackfirst">
    <w:name w:val="bullet black first"/>
    <w:basedOn w:val="Normal"/>
    <w:next w:val="Normal"/>
    <w:pPr>
      <w:numPr>
        <w:numId w:val="3"/>
      </w:numPr>
      <w:spacing w:before="120"/>
    </w:pPr>
  </w:style>
  <w:style w:type="paragraph" w:customStyle="1" w:styleId="ListBullet1">
    <w:name w:val="List Bullet 1"/>
    <w:basedOn w:val="Normal"/>
    <w:pPr>
      <w:numPr>
        <w:numId w:val="4"/>
      </w:numPr>
    </w:pPr>
  </w:style>
  <w:style w:type="paragraph" w:styleId="BodyText2">
    <w:name w:val="Body Text 2"/>
    <w:basedOn w:val="Normal"/>
    <w:rPr>
      <w:i/>
    </w:rPr>
  </w:style>
  <w:style w:type="paragraph" w:styleId="DocumentMap">
    <w:name w:val="Document Map"/>
    <w:basedOn w:val="Normal"/>
    <w:semiHidden/>
    <w:pPr>
      <w:shd w:val="clear" w:color="auto" w:fill="000080"/>
    </w:pPr>
    <w:rPr>
      <w:rFonts w:ascii="Tahoma" w:hAnsi="Tahoma" w:cs="Times"/>
    </w:rPr>
  </w:style>
  <w:style w:type="table" w:styleId="TableGrid">
    <w:name w:val="Table Grid"/>
    <w:basedOn w:val="TableNormal"/>
    <w:rsid w:val="00BE0303"/>
    <w:pPr>
      <w:spacing w:before="60" w:after="60"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D5B5D"/>
    <w:rPr>
      <w:rFonts w:ascii="Tahoma" w:hAnsi="Tahoma" w:cs="Tahoma"/>
      <w:sz w:val="16"/>
      <w:szCs w:val="16"/>
    </w:rPr>
  </w:style>
  <w:style w:type="paragraph" w:customStyle="1" w:styleId="StyleTOC3After3pt">
    <w:name w:val="Style TOC 3 + After:  3 pt"/>
    <w:basedOn w:val="TOC3"/>
    <w:autoRedefine/>
    <w:rsid w:val="004A37B0"/>
    <w:rPr>
      <w:rFonts w:eastAsia="Times New Roman"/>
    </w:rPr>
  </w:style>
  <w:style w:type="character" w:customStyle="1" w:styleId="Heading2Char">
    <w:name w:val="Heading 2 Char"/>
    <w:link w:val="Heading2"/>
    <w:rsid w:val="00986C1D"/>
    <w:rPr>
      <w:rFonts w:eastAsia="Times New Roman"/>
      <w:noProof/>
      <w:sz w:val="22"/>
      <w:lang w:val="en-GB"/>
    </w:rPr>
  </w:style>
  <w:style w:type="character" w:customStyle="1" w:styleId="FooterChar">
    <w:name w:val="Footer Char"/>
    <w:link w:val="Footer"/>
    <w:uiPriority w:val="99"/>
    <w:rsid w:val="003711AE"/>
    <w:rPr>
      <w:rFonts w:ascii="Arial" w:hAnsi="Arial"/>
      <w:spacing w:val="-4"/>
      <w:sz w:val="22"/>
      <w:lang w:eastAsia="en-GB"/>
    </w:rPr>
  </w:style>
  <w:style w:type="paragraph" w:styleId="CommentSubject">
    <w:name w:val="annotation subject"/>
    <w:basedOn w:val="CommentText"/>
    <w:next w:val="CommentText"/>
    <w:semiHidden/>
    <w:rsid w:val="00A0244A"/>
    <w:pPr>
      <w:keepLines w:val="0"/>
      <w:spacing w:line="264" w:lineRule="auto"/>
    </w:pPr>
    <w:rPr>
      <w:b/>
      <w:bCs/>
      <w:sz w:val="20"/>
    </w:rPr>
  </w:style>
  <w:style w:type="paragraph" w:customStyle="1" w:styleId="Level1altL1">
    <w:name w:val="§ Level 1 (alt L1)"/>
    <w:basedOn w:val="Normal"/>
    <w:rsid w:val="004D1D37"/>
    <w:pPr>
      <w:tabs>
        <w:tab w:val="left" w:pos="1418"/>
      </w:tabs>
      <w:spacing w:after="240"/>
    </w:pPr>
    <w:rPr>
      <w:rFonts w:ascii="Times New Roman" w:eastAsia="Times New Roman" w:hAnsi="Times New Roman"/>
      <w:lang w:val="en-GB" w:eastAsia="en-US"/>
    </w:rPr>
  </w:style>
  <w:style w:type="paragraph" w:customStyle="1" w:styleId="Level2altL2">
    <w:name w:val="§ Level 2 (alt L2)"/>
    <w:basedOn w:val="Level1altL1"/>
    <w:rsid w:val="004D1D37"/>
    <w:pPr>
      <w:numPr>
        <w:ilvl w:val="1"/>
      </w:numPr>
    </w:pPr>
  </w:style>
  <w:style w:type="paragraph" w:styleId="BlockText">
    <w:name w:val="Block Text"/>
    <w:basedOn w:val="Normal"/>
    <w:rsid w:val="004D1D37"/>
    <w:pPr>
      <w:spacing w:after="120"/>
      <w:ind w:left="1440" w:right="1440"/>
    </w:pPr>
    <w:rPr>
      <w:rFonts w:ascii="Times New Roman" w:eastAsia="Times New Roman" w:hAnsi="Times New Roman"/>
      <w:lang w:val="en-GB" w:eastAsia="en-US"/>
    </w:rPr>
  </w:style>
  <w:style w:type="paragraph" w:customStyle="1" w:styleId="AgendaItemaltg">
    <w:name w:val="Agenda Item (alt g)"/>
    <w:basedOn w:val="Normal"/>
    <w:rsid w:val="004D1D37"/>
    <w:pPr>
      <w:ind w:left="1985" w:hanging="1985"/>
    </w:pPr>
    <w:rPr>
      <w:rFonts w:ascii="Times New Roman" w:eastAsia="Times New Roman" w:hAnsi="Times New Roman"/>
      <w:lang w:val="en-GB" w:eastAsia="en-US"/>
    </w:rPr>
  </w:style>
  <w:style w:type="paragraph" w:customStyle="1" w:styleId="IcaoLevel2">
    <w:name w:val="Icao § Level2"/>
    <w:basedOn w:val="Normal"/>
    <w:rsid w:val="004D1D37"/>
    <w:pPr>
      <w:tabs>
        <w:tab w:val="left" w:pos="1418"/>
      </w:tabs>
      <w:spacing w:after="240"/>
    </w:pPr>
    <w:rPr>
      <w:rFonts w:ascii="Times New Roman" w:eastAsia="Times New Roman" w:hAnsi="Times New Roman"/>
      <w:lang w:val="en-GB" w:eastAsia="en-US"/>
    </w:rPr>
  </w:style>
  <w:style w:type="paragraph" w:customStyle="1" w:styleId="IcaoSoDTitle1Section">
    <w:name w:val="IcaoSoD Title1(Section)"/>
    <w:basedOn w:val="Normal"/>
    <w:next w:val="IcaoLevel2"/>
    <w:rsid w:val="004D1D37"/>
    <w:pPr>
      <w:keepNext/>
      <w:numPr>
        <w:numId w:val="9"/>
      </w:numPr>
      <w:spacing w:before="120" w:after="240"/>
    </w:pPr>
    <w:rPr>
      <w:rFonts w:ascii="Times New Roman" w:eastAsia="Times New Roman" w:hAnsi="Times New Roman"/>
      <w:b/>
      <w:lang w:val="en-GB" w:eastAsia="en-US"/>
    </w:rPr>
  </w:style>
  <w:style w:type="paragraph" w:customStyle="1" w:styleId="IcaoListabc">
    <w:name w:val="Icao List abc"/>
    <w:basedOn w:val="Normal"/>
    <w:qFormat/>
    <w:rsid w:val="00A35647"/>
    <w:pPr>
      <w:numPr>
        <w:numId w:val="11"/>
      </w:numPr>
      <w:tabs>
        <w:tab w:val="clear" w:pos="1417"/>
        <w:tab w:val="num" w:pos="1134"/>
      </w:tabs>
      <w:autoSpaceDE w:val="0"/>
      <w:autoSpaceDN w:val="0"/>
      <w:adjustRightInd w:val="0"/>
      <w:spacing w:after="120"/>
      <w:ind w:left="1134"/>
    </w:pPr>
    <w:rPr>
      <w:rFonts w:ascii="Times New Roman" w:eastAsia="Times New Roman" w:hAnsi="Times New Roman"/>
      <w:szCs w:val="22"/>
      <w:lang w:val="en-GB" w:eastAsia="en-US"/>
    </w:rPr>
  </w:style>
  <w:style w:type="paragraph" w:customStyle="1" w:styleId="IcaoSoDTitle2Subject">
    <w:name w:val="IcaoSoD Title2(Subject)"/>
    <w:basedOn w:val="Normal"/>
    <w:next w:val="Normal"/>
    <w:qFormat/>
    <w:rsid w:val="004D1D37"/>
    <w:pPr>
      <w:keepNext/>
      <w:spacing w:after="240"/>
    </w:pPr>
    <w:rPr>
      <w:rFonts w:ascii="Times New Roman Italic" w:eastAsia="Times New Roman" w:hAnsi="Times New Roman Italic"/>
      <w:i/>
      <w:lang w:val="en-GB" w:eastAsia="en-US"/>
    </w:rPr>
  </w:style>
  <w:style w:type="paragraph" w:styleId="ListParagraph">
    <w:name w:val="List Paragraph"/>
    <w:basedOn w:val="Normal"/>
    <w:uiPriority w:val="34"/>
    <w:rsid w:val="00A35647"/>
    <w:pPr>
      <w:ind w:left="720"/>
      <w:contextualSpacing/>
    </w:pPr>
  </w:style>
  <w:style w:type="paragraph" w:customStyle="1" w:styleId="Default">
    <w:name w:val="Default"/>
    <w:rsid w:val="00CB3C6E"/>
    <w:pPr>
      <w:autoSpaceDE w:val="0"/>
      <w:autoSpaceDN w:val="0"/>
      <w:adjustRightInd w:val="0"/>
    </w:pPr>
    <w:rPr>
      <w:color w:val="000000"/>
      <w:sz w:val="24"/>
      <w:szCs w:val="24"/>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049697">
      <w:bodyDiv w:val="1"/>
      <w:marLeft w:val="0"/>
      <w:marRight w:val="0"/>
      <w:marTop w:val="0"/>
      <w:marBottom w:val="0"/>
      <w:divBdr>
        <w:top w:val="none" w:sz="0" w:space="0" w:color="auto"/>
        <w:left w:val="none" w:sz="0" w:space="0" w:color="auto"/>
        <w:bottom w:val="none" w:sz="0" w:space="0" w:color="auto"/>
        <w:right w:val="none" w:sz="0" w:space="0" w:color="auto"/>
      </w:divBdr>
    </w:div>
    <w:div w:id="503403725">
      <w:bodyDiv w:val="1"/>
      <w:marLeft w:val="0"/>
      <w:marRight w:val="0"/>
      <w:marTop w:val="0"/>
      <w:marBottom w:val="0"/>
      <w:divBdr>
        <w:top w:val="none" w:sz="0" w:space="0" w:color="auto"/>
        <w:left w:val="none" w:sz="0" w:space="0" w:color="auto"/>
        <w:bottom w:val="none" w:sz="0" w:space="0" w:color="auto"/>
        <w:right w:val="none" w:sz="0" w:space="0" w:color="auto"/>
      </w:divBdr>
      <w:divsChild>
        <w:div w:id="1560364177">
          <w:marLeft w:val="0"/>
          <w:marRight w:val="0"/>
          <w:marTop w:val="0"/>
          <w:marBottom w:val="0"/>
          <w:divBdr>
            <w:top w:val="none" w:sz="0" w:space="0" w:color="auto"/>
            <w:left w:val="none" w:sz="0" w:space="0" w:color="auto"/>
            <w:bottom w:val="none" w:sz="0" w:space="0" w:color="auto"/>
            <w:right w:val="none" w:sz="0" w:space="0" w:color="auto"/>
          </w:divBdr>
          <w:divsChild>
            <w:div w:id="1579168260">
              <w:marLeft w:val="0"/>
              <w:marRight w:val="0"/>
              <w:marTop w:val="0"/>
              <w:marBottom w:val="0"/>
              <w:divBdr>
                <w:top w:val="none" w:sz="0" w:space="0" w:color="auto"/>
                <w:left w:val="none" w:sz="0" w:space="0" w:color="auto"/>
                <w:bottom w:val="none" w:sz="0" w:space="0" w:color="auto"/>
                <w:right w:val="none" w:sz="0" w:space="0" w:color="auto"/>
              </w:divBdr>
              <w:divsChild>
                <w:div w:id="1807353121">
                  <w:marLeft w:val="600"/>
                  <w:marRight w:val="600"/>
                  <w:marTop w:val="0"/>
                  <w:marBottom w:val="0"/>
                  <w:divBdr>
                    <w:top w:val="none" w:sz="0" w:space="0" w:color="auto"/>
                    <w:left w:val="none" w:sz="0" w:space="0" w:color="auto"/>
                    <w:bottom w:val="none" w:sz="0" w:space="0" w:color="auto"/>
                    <w:right w:val="none" w:sz="0" w:space="0" w:color="auto"/>
                  </w:divBdr>
                  <w:divsChild>
                    <w:div w:id="56513461">
                      <w:marLeft w:val="0"/>
                      <w:marRight w:val="0"/>
                      <w:marTop w:val="0"/>
                      <w:marBottom w:val="0"/>
                      <w:divBdr>
                        <w:top w:val="none" w:sz="0" w:space="0" w:color="auto"/>
                        <w:left w:val="none" w:sz="0" w:space="0" w:color="auto"/>
                        <w:bottom w:val="none" w:sz="0" w:space="0" w:color="auto"/>
                        <w:right w:val="none" w:sz="0" w:space="0" w:color="auto"/>
                      </w:divBdr>
                    </w:div>
                    <w:div w:id="61954066">
                      <w:marLeft w:val="0"/>
                      <w:marRight w:val="0"/>
                      <w:marTop w:val="0"/>
                      <w:marBottom w:val="0"/>
                      <w:divBdr>
                        <w:top w:val="none" w:sz="0" w:space="0" w:color="auto"/>
                        <w:left w:val="none" w:sz="0" w:space="0" w:color="auto"/>
                        <w:bottom w:val="none" w:sz="0" w:space="0" w:color="auto"/>
                        <w:right w:val="none" w:sz="0" w:space="0" w:color="auto"/>
                      </w:divBdr>
                    </w:div>
                    <w:div w:id="840047430">
                      <w:marLeft w:val="0"/>
                      <w:marRight w:val="0"/>
                      <w:marTop w:val="0"/>
                      <w:marBottom w:val="0"/>
                      <w:divBdr>
                        <w:top w:val="none" w:sz="0" w:space="0" w:color="auto"/>
                        <w:left w:val="none" w:sz="0" w:space="0" w:color="auto"/>
                        <w:bottom w:val="none" w:sz="0" w:space="0" w:color="auto"/>
                        <w:right w:val="none" w:sz="0" w:space="0" w:color="auto"/>
                      </w:divBdr>
                    </w:div>
                    <w:div w:id="1154225065">
                      <w:marLeft w:val="0"/>
                      <w:marRight w:val="0"/>
                      <w:marTop w:val="0"/>
                      <w:marBottom w:val="0"/>
                      <w:divBdr>
                        <w:top w:val="none" w:sz="0" w:space="0" w:color="auto"/>
                        <w:left w:val="none" w:sz="0" w:space="0" w:color="auto"/>
                        <w:bottom w:val="none" w:sz="0" w:space="0" w:color="auto"/>
                        <w:right w:val="none" w:sz="0" w:space="0" w:color="auto"/>
                      </w:divBdr>
                    </w:div>
                    <w:div w:id="1337072043">
                      <w:marLeft w:val="0"/>
                      <w:marRight w:val="0"/>
                      <w:marTop w:val="0"/>
                      <w:marBottom w:val="0"/>
                      <w:divBdr>
                        <w:top w:val="none" w:sz="0" w:space="0" w:color="auto"/>
                        <w:left w:val="none" w:sz="0" w:space="0" w:color="auto"/>
                        <w:bottom w:val="none" w:sz="0" w:space="0" w:color="auto"/>
                        <w:right w:val="none" w:sz="0" w:space="0" w:color="auto"/>
                      </w:divBdr>
                    </w:div>
                    <w:div w:id="1449741361">
                      <w:marLeft w:val="0"/>
                      <w:marRight w:val="0"/>
                      <w:marTop w:val="0"/>
                      <w:marBottom w:val="0"/>
                      <w:divBdr>
                        <w:top w:val="none" w:sz="0" w:space="0" w:color="auto"/>
                        <w:left w:val="none" w:sz="0" w:space="0" w:color="auto"/>
                        <w:bottom w:val="none" w:sz="0" w:space="0" w:color="auto"/>
                        <w:right w:val="none" w:sz="0" w:space="0" w:color="auto"/>
                      </w:divBdr>
                    </w:div>
                    <w:div w:id="1473475799">
                      <w:marLeft w:val="0"/>
                      <w:marRight w:val="0"/>
                      <w:marTop w:val="0"/>
                      <w:marBottom w:val="0"/>
                      <w:divBdr>
                        <w:top w:val="none" w:sz="0" w:space="0" w:color="auto"/>
                        <w:left w:val="none" w:sz="0" w:space="0" w:color="auto"/>
                        <w:bottom w:val="none" w:sz="0" w:space="0" w:color="auto"/>
                        <w:right w:val="none" w:sz="0" w:space="0" w:color="auto"/>
                      </w:divBdr>
                    </w:div>
                    <w:div w:id="1493256119">
                      <w:marLeft w:val="0"/>
                      <w:marRight w:val="0"/>
                      <w:marTop w:val="0"/>
                      <w:marBottom w:val="0"/>
                      <w:divBdr>
                        <w:top w:val="none" w:sz="0" w:space="0" w:color="auto"/>
                        <w:left w:val="none" w:sz="0" w:space="0" w:color="auto"/>
                        <w:bottom w:val="none" w:sz="0" w:space="0" w:color="auto"/>
                        <w:right w:val="none" w:sz="0" w:space="0" w:color="auto"/>
                      </w:divBdr>
                    </w:div>
                    <w:div w:id="167321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623765">
      <w:bodyDiv w:val="1"/>
      <w:marLeft w:val="0"/>
      <w:marRight w:val="0"/>
      <w:marTop w:val="0"/>
      <w:marBottom w:val="0"/>
      <w:divBdr>
        <w:top w:val="none" w:sz="0" w:space="0" w:color="auto"/>
        <w:left w:val="none" w:sz="0" w:space="0" w:color="auto"/>
        <w:bottom w:val="none" w:sz="0" w:space="0" w:color="auto"/>
        <w:right w:val="none" w:sz="0" w:space="0" w:color="auto"/>
      </w:divBdr>
      <w:divsChild>
        <w:div w:id="1440833420">
          <w:marLeft w:val="0"/>
          <w:marRight w:val="0"/>
          <w:marTop w:val="0"/>
          <w:marBottom w:val="0"/>
          <w:divBdr>
            <w:top w:val="none" w:sz="0" w:space="0" w:color="auto"/>
            <w:left w:val="none" w:sz="0" w:space="0" w:color="auto"/>
            <w:bottom w:val="none" w:sz="0" w:space="0" w:color="auto"/>
            <w:right w:val="none" w:sz="0" w:space="0" w:color="auto"/>
          </w:divBdr>
          <w:divsChild>
            <w:div w:id="1724714831">
              <w:marLeft w:val="0"/>
              <w:marRight w:val="0"/>
              <w:marTop w:val="0"/>
              <w:marBottom w:val="0"/>
              <w:divBdr>
                <w:top w:val="none" w:sz="0" w:space="0" w:color="auto"/>
                <w:left w:val="none" w:sz="0" w:space="0" w:color="auto"/>
                <w:bottom w:val="none" w:sz="0" w:space="0" w:color="auto"/>
                <w:right w:val="none" w:sz="0" w:space="0" w:color="auto"/>
              </w:divBdr>
              <w:divsChild>
                <w:div w:id="561602105">
                  <w:marLeft w:val="0"/>
                  <w:marRight w:val="0"/>
                  <w:marTop w:val="0"/>
                  <w:marBottom w:val="0"/>
                  <w:divBdr>
                    <w:top w:val="none" w:sz="0" w:space="0" w:color="auto"/>
                    <w:left w:val="none" w:sz="0" w:space="0" w:color="auto"/>
                    <w:bottom w:val="none" w:sz="0" w:space="0" w:color="auto"/>
                    <w:right w:val="none" w:sz="0" w:space="0" w:color="auto"/>
                  </w:divBdr>
                  <w:divsChild>
                    <w:div w:id="748624281">
                      <w:marLeft w:val="2325"/>
                      <w:marRight w:val="0"/>
                      <w:marTop w:val="0"/>
                      <w:marBottom w:val="0"/>
                      <w:divBdr>
                        <w:top w:val="none" w:sz="0" w:space="0" w:color="auto"/>
                        <w:left w:val="none" w:sz="0" w:space="0" w:color="auto"/>
                        <w:bottom w:val="none" w:sz="0" w:space="0" w:color="auto"/>
                        <w:right w:val="none" w:sz="0" w:space="0" w:color="auto"/>
                      </w:divBdr>
                      <w:divsChild>
                        <w:div w:id="85925718">
                          <w:marLeft w:val="0"/>
                          <w:marRight w:val="0"/>
                          <w:marTop w:val="0"/>
                          <w:marBottom w:val="0"/>
                          <w:divBdr>
                            <w:top w:val="none" w:sz="0" w:space="0" w:color="auto"/>
                            <w:left w:val="none" w:sz="0" w:space="0" w:color="auto"/>
                            <w:bottom w:val="none" w:sz="0" w:space="0" w:color="auto"/>
                            <w:right w:val="none" w:sz="0" w:space="0" w:color="auto"/>
                          </w:divBdr>
                          <w:divsChild>
                            <w:div w:id="120223576">
                              <w:marLeft w:val="0"/>
                              <w:marRight w:val="0"/>
                              <w:marTop w:val="0"/>
                              <w:marBottom w:val="0"/>
                              <w:divBdr>
                                <w:top w:val="none" w:sz="0" w:space="0" w:color="auto"/>
                                <w:left w:val="none" w:sz="0" w:space="0" w:color="auto"/>
                                <w:bottom w:val="none" w:sz="0" w:space="0" w:color="auto"/>
                                <w:right w:val="none" w:sz="0" w:space="0" w:color="auto"/>
                              </w:divBdr>
                              <w:divsChild>
                                <w:div w:id="372192170">
                                  <w:marLeft w:val="0"/>
                                  <w:marRight w:val="0"/>
                                  <w:marTop w:val="0"/>
                                  <w:marBottom w:val="0"/>
                                  <w:divBdr>
                                    <w:top w:val="none" w:sz="0" w:space="0" w:color="auto"/>
                                    <w:left w:val="none" w:sz="0" w:space="0" w:color="auto"/>
                                    <w:bottom w:val="none" w:sz="0" w:space="0" w:color="auto"/>
                                    <w:right w:val="none" w:sz="0" w:space="0" w:color="auto"/>
                                  </w:divBdr>
                                  <w:divsChild>
                                    <w:div w:id="814833501">
                                      <w:marLeft w:val="0"/>
                                      <w:marRight w:val="0"/>
                                      <w:marTop w:val="0"/>
                                      <w:marBottom w:val="0"/>
                                      <w:divBdr>
                                        <w:top w:val="none" w:sz="0" w:space="0" w:color="auto"/>
                                        <w:left w:val="none" w:sz="0" w:space="0" w:color="auto"/>
                                        <w:bottom w:val="none" w:sz="0" w:space="0" w:color="auto"/>
                                        <w:right w:val="none" w:sz="0" w:space="0" w:color="auto"/>
                                      </w:divBdr>
                                      <w:divsChild>
                                        <w:div w:id="1592853839">
                                          <w:marLeft w:val="0"/>
                                          <w:marRight w:val="0"/>
                                          <w:marTop w:val="0"/>
                                          <w:marBottom w:val="0"/>
                                          <w:divBdr>
                                            <w:top w:val="none" w:sz="0" w:space="0" w:color="auto"/>
                                            <w:left w:val="none" w:sz="0" w:space="0" w:color="auto"/>
                                            <w:bottom w:val="none" w:sz="0" w:space="0" w:color="auto"/>
                                            <w:right w:val="none" w:sz="0" w:space="0" w:color="auto"/>
                                          </w:divBdr>
                                          <w:divsChild>
                                            <w:div w:id="992414556">
                                              <w:marLeft w:val="0"/>
                                              <w:marRight w:val="0"/>
                                              <w:marTop w:val="0"/>
                                              <w:marBottom w:val="0"/>
                                              <w:divBdr>
                                                <w:top w:val="none" w:sz="0" w:space="0" w:color="auto"/>
                                                <w:left w:val="none" w:sz="0" w:space="0" w:color="auto"/>
                                                <w:bottom w:val="none" w:sz="0" w:space="0" w:color="auto"/>
                                                <w:right w:val="none" w:sz="0" w:space="0" w:color="auto"/>
                                              </w:divBdr>
                                              <w:divsChild>
                                                <w:div w:id="523255510">
                                                  <w:marLeft w:val="0"/>
                                                  <w:marRight w:val="0"/>
                                                  <w:marTop w:val="0"/>
                                                  <w:marBottom w:val="0"/>
                                                  <w:divBdr>
                                                    <w:top w:val="none" w:sz="0" w:space="0" w:color="auto"/>
                                                    <w:left w:val="none" w:sz="0" w:space="0" w:color="auto"/>
                                                    <w:bottom w:val="none" w:sz="0" w:space="0" w:color="auto"/>
                                                    <w:right w:val="none" w:sz="0" w:space="0" w:color="auto"/>
                                                  </w:divBdr>
                                                  <w:divsChild>
                                                    <w:div w:id="1145972765">
                                                      <w:marLeft w:val="0"/>
                                                      <w:marRight w:val="0"/>
                                                      <w:marTop w:val="0"/>
                                                      <w:marBottom w:val="0"/>
                                                      <w:divBdr>
                                                        <w:top w:val="none" w:sz="0" w:space="0" w:color="auto"/>
                                                        <w:left w:val="none" w:sz="0" w:space="0" w:color="auto"/>
                                                        <w:bottom w:val="none" w:sz="0" w:space="0" w:color="auto"/>
                                                        <w:right w:val="none" w:sz="0" w:space="0" w:color="auto"/>
                                                      </w:divBdr>
                                                      <w:divsChild>
                                                        <w:div w:id="456801529">
                                                          <w:marLeft w:val="15"/>
                                                          <w:marRight w:val="15"/>
                                                          <w:marTop w:val="15"/>
                                                          <w:marBottom w:val="15"/>
                                                          <w:divBdr>
                                                            <w:top w:val="none" w:sz="0" w:space="0" w:color="auto"/>
                                                            <w:left w:val="none" w:sz="0" w:space="0" w:color="auto"/>
                                                            <w:bottom w:val="none" w:sz="0" w:space="0" w:color="auto"/>
                                                            <w:right w:val="none" w:sz="0" w:space="0" w:color="auto"/>
                                                          </w:divBdr>
                                                          <w:divsChild>
                                                            <w:div w:id="88738654">
                                                              <w:marLeft w:val="0"/>
                                                              <w:marRight w:val="0"/>
                                                              <w:marTop w:val="0"/>
                                                              <w:marBottom w:val="0"/>
                                                              <w:divBdr>
                                                                <w:top w:val="none" w:sz="0" w:space="0" w:color="auto"/>
                                                                <w:left w:val="none" w:sz="0" w:space="0" w:color="auto"/>
                                                                <w:bottom w:val="none" w:sz="0" w:space="0" w:color="auto"/>
                                                                <w:right w:val="none" w:sz="0" w:space="0" w:color="auto"/>
                                                              </w:divBdr>
                                                              <w:divsChild>
                                                                <w:div w:id="357582911">
                                                                  <w:marLeft w:val="0"/>
                                                                  <w:marRight w:val="0"/>
                                                                  <w:marTop w:val="0"/>
                                                                  <w:marBottom w:val="0"/>
                                                                  <w:divBdr>
                                                                    <w:top w:val="none" w:sz="0" w:space="0" w:color="auto"/>
                                                                    <w:left w:val="none" w:sz="0" w:space="0" w:color="auto"/>
                                                                    <w:bottom w:val="none" w:sz="0" w:space="0" w:color="auto"/>
                                                                    <w:right w:val="none" w:sz="0" w:space="0" w:color="auto"/>
                                                                  </w:divBdr>
                                                                </w:div>
                                                                <w:div w:id="370498373">
                                                                  <w:marLeft w:val="0"/>
                                                                  <w:marRight w:val="0"/>
                                                                  <w:marTop w:val="0"/>
                                                                  <w:marBottom w:val="0"/>
                                                                  <w:divBdr>
                                                                    <w:top w:val="none" w:sz="0" w:space="0" w:color="auto"/>
                                                                    <w:left w:val="none" w:sz="0" w:space="0" w:color="auto"/>
                                                                    <w:bottom w:val="none" w:sz="0" w:space="0" w:color="auto"/>
                                                                    <w:right w:val="none" w:sz="0" w:space="0" w:color="auto"/>
                                                                  </w:divBdr>
                                                                </w:div>
                                                                <w:div w:id="470489407">
                                                                  <w:marLeft w:val="0"/>
                                                                  <w:marRight w:val="0"/>
                                                                  <w:marTop w:val="0"/>
                                                                  <w:marBottom w:val="0"/>
                                                                  <w:divBdr>
                                                                    <w:top w:val="none" w:sz="0" w:space="0" w:color="auto"/>
                                                                    <w:left w:val="none" w:sz="0" w:space="0" w:color="auto"/>
                                                                    <w:bottom w:val="none" w:sz="0" w:space="0" w:color="auto"/>
                                                                    <w:right w:val="none" w:sz="0" w:space="0" w:color="auto"/>
                                                                  </w:divBdr>
                                                                </w:div>
                                                                <w:div w:id="618608916">
                                                                  <w:marLeft w:val="0"/>
                                                                  <w:marRight w:val="0"/>
                                                                  <w:marTop w:val="0"/>
                                                                  <w:marBottom w:val="0"/>
                                                                  <w:divBdr>
                                                                    <w:top w:val="none" w:sz="0" w:space="0" w:color="auto"/>
                                                                    <w:left w:val="none" w:sz="0" w:space="0" w:color="auto"/>
                                                                    <w:bottom w:val="none" w:sz="0" w:space="0" w:color="auto"/>
                                                                    <w:right w:val="none" w:sz="0" w:space="0" w:color="auto"/>
                                                                  </w:divBdr>
                                                                </w:div>
                                                                <w:div w:id="743533625">
                                                                  <w:marLeft w:val="0"/>
                                                                  <w:marRight w:val="0"/>
                                                                  <w:marTop w:val="0"/>
                                                                  <w:marBottom w:val="0"/>
                                                                  <w:divBdr>
                                                                    <w:top w:val="none" w:sz="0" w:space="0" w:color="auto"/>
                                                                    <w:left w:val="none" w:sz="0" w:space="0" w:color="auto"/>
                                                                    <w:bottom w:val="none" w:sz="0" w:space="0" w:color="auto"/>
                                                                    <w:right w:val="none" w:sz="0" w:space="0" w:color="auto"/>
                                                                  </w:divBdr>
                                                                  <w:divsChild>
                                                                    <w:div w:id="562758137">
                                                                      <w:marLeft w:val="0"/>
                                                                      <w:marRight w:val="0"/>
                                                                      <w:marTop w:val="0"/>
                                                                      <w:marBottom w:val="0"/>
                                                                      <w:divBdr>
                                                                        <w:top w:val="none" w:sz="0" w:space="0" w:color="auto"/>
                                                                        <w:left w:val="none" w:sz="0" w:space="0" w:color="auto"/>
                                                                        <w:bottom w:val="none" w:sz="0" w:space="0" w:color="auto"/>
                                                                        <w:right w:val="none" w:sz="0" w:space="0" w:color="auto"/>
                                                                      </w:divBdr>
                                                                    </w:div>
                                                                  </w:divsChild>
                                                                </w:div>
                                                                <w:div w:id="862744185">
                                                                  <w:marLeft w:val="0"/>
                                                                  <w:marRight w:val="0"/>
                                                                  <w:marTop w:val="0"/>
                                                                  <w:marBottom w:val="0"/>
                                                                  <w:divBdr>
                                                                    <w:top w:val="none" w:sz="0" w:space="0" w:color="auto"/>
                                                                    <w:left w:val="none" w:sz="0" w:space="0" w:color="auto"/>
                                                                    <w:bottom w:val="none" w:sz="0" w:space="0" w:color="auto"/>
                                                                    <w:right w:val="none" w:sz="0" w:space="0" w:color="auto"/>
                                                                  </w:divBdr>
                                                                </w:div>
                                                                <w:div w:id="1060061159">
                                                                  <w:marLeft w:val="0"/>
                                                                  <w:marRight w:val="0"/>
                                                                  <w:marTop w:val="0"/>
                                                                  <w:marBottom w:val="0"/>
                                                                  <w:divBdr>
                                                                    <w:top w:val="none" w:sz="0" w:space="0" w:color="auto"/>
                                                                    <w:left w:val="none" w:sz="0" w:space="0" w:color="auto"/>
                                                                    <w:bottom w:val="none" w:sz="0" w:space="0" w:color="auto"/>
                                                                    <w:right w:val="none" w:sz="0" w:space="0" w:color="auto"/>
                                                                  </w:divBdr>
                                                                </w:div>
                                                                <w:div w:id="1135953769">
                                                                  <w:marLeft w:val="540"/>
                                                                  <w:marRight w:val="0"/>
                                                                  <w:marTop w:val="0"/>
                                                                  <w:marBottom w:val="0"/>
                                                                  <w:divBdr>
                                                                    <w:top w:val="none" w:sz="0" w:space="0" w:color="auto"/>
                                                                    <w:left w:val="none" w:sz="0" w:space="0" w:color="auto"/>
                                                                    <w:bottom w:val="none" w:sz="0" w:space="0" w:color="auto"/>
                                                                    <w:right w:val="none" w:sz="0" w:space="0" w:color="auto"/>
                                                                  </w:divBdr>
                                                                </w:div>
                                                                <w:div w:id="1429764872">
                                                                  <w:marLeft w:val="0"/>
                                                                  <w:marRight w:val="0"/>
                                                                  <w:marTop w:val="0"/>
                                                                  <w:marBottom w:val="0"/>
                                                                  <w:divBdr>
                                                                    <w:top w:val="none" w:sz="0" w:space="0" w:color="auto"/>
                                                                    <w:left w:val="none" w:sz="0" w:space="0" w:color="auto"/>
                                                                    <w:bottom w:val="none" w:sz="0" w:space="0" w:color="auto"/>
                                                                    <w:right w:val="none" w:sz="0" w:space="0" w:color="auto"/>
                                                                  </w:divBdr>
                                                                </w:div>
                                                                <w:div w:id="1645160902">
                                                                  <w:marLeft w:val="0"/>
                                                                  <w:marRight w:val="0"/>
                                                                  <w:marTop w:val="0"/>
                                                                  <w:marBottom w:val="0"/>
                                                                  <w:divBdr>
                                                                    <w:top w:val="none" w:sz="0" w:space="0" w:color="auto"/>
                                                                    <w:left w:val="none" w:sz="0" w:space="0" w:color="auto"/>
                                                                    <w:bottom w:val="none" w:sz="0" w:space="0" w:color="auto"/>
                                                                    <w:right w:val="none" w:sz="0" w:space="0" w:color="auto"/>
                                                                  </w:divBdr>
                                                                </w:div>
                                                              </w:divsChild>
                                                            </w:div>
                                                            <w:div w:id="211188662">
                                                              <w:marLeft w:val="0"/>
                                                              <w:marRight w:val="0"/>
                                                              <w:marTop w:val="0"/>
                                                              <w:marBottom w:val="0"/>
                                                              <w:divBdr>
                                                                <w:top w:val="none" w:sz="0" w:space="0" w:color="auto"/>
                                                                <w:left w:val="none" w:sz="0" w:space="0" w:color="auto"/>
                                                                <w:bottom w:val="none" w:sz="0" w:space="0" w:color="auto"/>
                                                                <w:right w:val="none" w:sz="0" w:space="0" w:color="auto"/>
                                                              </w:divBdr>
                                                              <w:divsChild>
                                                                <w:div w:id="9464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78460817">
      <w:bodyDiv w:val="1"/>
      <w:marLeft w:val="0"/>
      <w:marRight w:val="0"/>
      <w:marTop w:val="0"/>
      <w:marBottom w:val="0"/>
      <w:divBdr>
        <w:top w:val="none" w:sz="0" w:space="0" w:color="auto"/>
        <w:left w:val="none" w:sz="0" w:space="0" w:color="auto"/>
        <w:bottom w:val="none" w:sz="0" w:space="0" w:color="auto"/>
        <w:right w:val="none" w:sz="0" w:space="0" w:color="auto"/>
      </w:divBdr>
      <w:divsChild>
        <w:div w:id="75709347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95366654">
              <w:marLeft w:val="0"/>
              <w:marRight w:val="0"/>
              <w:marTop w:val="0"/>
              <w:marBottom w:val="0"/>
              <w:divBdr>
                <w:top w:val="none" w:sz="0" w:space="0" w:color="auto"/>
                <w:left w:val="none" w:sz="0" w:space="0" w:color="auto"/>
                <w:bottom w:val="none" w:sz="0" w:space="0" w:color="auto"/>
                <w:right w:val="none" w:sz="0" w:space="0" w:color="auto"/>
              </w:divBdr>
            </w:div>
            <w:div w:id="209874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580006">
      <w:bodyDiv w:val="1"/>
      <w:marLeft w:val="0"/>
      <w:marRight w:val="0"/>
      <w:marTop w:val="0"/>
      <w:marBottom w:val="0"/>
      <w:divBdr>
        <w:top w:val="none" w:sz="0" w:space="0" w:color="auto"/>
        <w:left w:val="none" w:sz="0" w:space="0" w:color="auto"/>
        <w:bottom w:val="none" w:sz="0" w:space="0" w:color="auto"/>
        <w:right w:val="none" w:sz="0" w:space="0" w:color="auto"/>
      </w:divBdr>
      <w:divsChild>
        <w:div w:id="102500797">
          <w:marLeft w:val="0"/>
          <w:marRight w:val="0"/>
          <w:marTop w:val="0"/>
          <w:marBottom w:val="0"/>
          <w:divBdr>
            <w:top w:val="none" w:sz="0" w:space="0" w:color="auto"/>
            <w:left w:val="none" w:sz="0" w:space="0" w:color="auto"/>
            <w:bottom w:val="none" w:sz="0" w:space="0" w:color="auto"/>
            <w:right w:val="none" w:sz="0" w:space="0" w:color="auto"/>
          </w:divBdr>
          <w:divsChild>
            <w:div w:id="322585634">
              <w:marLeft w:val="0"/>
              <w:marRight w:val="0"/>
              <w:marTop w:val="0"/>
              <w:marBottom w:val="0"/>
              <w:divBdr>
                <w:top w:val="none" w:sz="0" w:space="0" w:color="auto"/>
                <w:left w:val="none" w:sz="0" w:space="0" w:color="auto"/>
                <w:bottom w:val="none" w:sz="0" w:space="0" w:color="auto"/>
                <w:right w:val="none" w:sz="0" w:space="0" w:color="auto"/>
              </w:divBdr>
            </w:div>
            <w:div w:id="1127090374">
              <w:marLeft w:val="0"/>
              <w:marRight w:val="0"/>
              <w:marTop w:val="0"/>
              <w:marBottom w:val="0"/>
              <w:divBdr>
                <w:top w:val="none" w:sz="0" w:space="0" w:color="auto"/>
                <w:left w:val="none" w:sz="0" w:space="0" w:color="auto"/>
                <w:bottom w:val="none" w:sz="0" w:space="0" w:color="auto"/>
                <w:right w:val="none" w:sz="0" w:space="0" w:color="auto"/>
              </w:divBdr>
            </w:div>
            <w:div w:id="1843691499">
              <w:marLeft w:val="0"/>
              <w:marRight w:val="0"/>
              <w:marTop w:val="0"/>
              <w:marBottom w:val="0"/>
              <w:divBdr>
                <w:top w:val="none" w:sz="0" w:space="0" w:color="auto"/>
                <w:left w:val="none" w:sz="0" w:space="0" w:color="auto"/>
                <w:bottom w:val="none" w:sz="0" w:space="0" w:color="auto"/>
                <w:right w:val="none" w:sz="0" w:space="0" w:color="auto"/>
              </w:divBdr>
            </w:div>
            <w:div w:id="2049186881">
              <w:marLeft w:val="0"/>
              <w:marRight w:val="0"/>
              <w:marTop w:val="0"/>
              <w:marBottom w:val="0"/>
              <w:divBdr>
                <w:top w:val="none" w:sz="0" w:space="0" w:color="auto"/>
                <w:left w:val="none" w:sz="0" w:space="0" w:color="auto"/>
                <w:bottom w:val="none" w:sz="0" w:space="0" w:color="auto"/>
                <w:right w:val="none" w:sz="0" w:space="0" w:color="auto"/>
              </w:divBdr>
            </w:div>
            <w:div w:id="208144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298893">
      <w:bodyDiv w:val="1"/>
      <w:marLeft w:val="0"/>
      <w:marRight w:val="0"/>
      <w:marTop w:val="0"/>
      <w:marBottom w:val="0"/>
      <w:divBdr>
        <w:top w:val="none" w:sz="0" w:space="0" w:color="auto"/>
        <w:left w:val="none" w:sz="0" w:space="0" w:color="auto"/>
        <w:bottom w:val="none" w:sz="0" w:space="0" w:color="auto"/>
        <w:right w:val="none" w:sz="0" w:space="0" w:color="auto"/>
      </w:divBdr>
    </w:div>
    <w:div w:id="166343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3\Contemporary%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E9901-ADAD-4B3D-AC17-962B216F5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Contemporary Report.dot</Template>
  <TotalTime>0</TotalTime>
  <Pages>2</Pages>
  <Words>605</Words>
  <Characters>3455</Characters>
  <Application>Microsoft Office Word</Application>
  <DocSecurity>0</DocSecurity>
  <Lines>28</Lines>
  <Paragraphs>8</Paragraphs>
  <ScaleCrop>false</ScaleCrop>
  <HeadingPairs>
    <vt:vector size="6" baseType="variant">
      <vt:variant>
        <vt:lpstr>Title</vt:lpstr>
      </vt:variant>
      <vt:variant>
        <vt:i4>1</vt:i4>
      </vt:variant>
      <vt:variant>
        <vt:lpstr>Titre</vt:lpstr>
      </vt:variant>
      <vt:variant>
        <vt:i4>1</vt:i4>
      </vt:variant>
      <vt:variant>
        <vt:lpstr>Τίτλος</vt:lpstr>
      </vt:variant>
      <vt:variant>
        <vt:i4>1</vt:i4>
      </vt:variant>
    </vt:vector>
  </HeadingPairs>
  <TitlesOfParts>
    <vt:vector size="3" baseType="lpstr">
      <vt:lpstr>RFF Document</vt:lpstr>
      <vt:lpstr>RFF Document</vt:lpstr>
      <vt:lpstr>RFF Document</vt:lpstr>
    </vt:vector>
  </TitlesOfParts>
  <Company>EUROCONTROL</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RFF Document</dc:title>
  <dc:creator>Jose</dc:creator>
  <cp:lastModifiedBy>Hofstetter, Isabelle</cp:lastModifiedBy>
  <cp:revision>3</cp:revision>
  <cp:lastPrinted>2014-03-18T14:07:00Z</cp:lastPrinted>
  <dcterms:created xsi:type="dcterms:W3CDTF">2025-11-28T15:24:00Z</dcterms:created>
  <dcterms:modified xsi:type="dcterms:W3CDTF">2025-11-28T15:42:00Z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99031100</vt:i4>
  </property>
  <property fmtid="{D5CDD505-2E9C-101B-9397-08002B2CF9AE}" pid="4" name="LCID">
    <vt:i4>1033</vt:i4>
  </property>
  <property fmtid="{D5CDD505-2E9C-101B-9397-08002B2CF9AE}" pid="5" name="DocVerNumber">
    <vt:lpwstr/>
  </property>
  <property fmtid="{D5CDD505-2E9C-101B-9397-08002B2CF9AE}" pid="6" name="DocumentStatus">
    <vt:lpwstr/>
  </property>
  <property fmtid="{D5CDD505-2E9C-101B-9397-08002B2CF9AE}" pid="7" name="DocLanguage">
    <vt:lpwstr/>
  </property>
  <property fmtid="{D5CDD505-2E9C-101B-9397-08002B2CF9AE}" pid="8" name="ContentType">
    <vt:lpwstr>OneSky Teams Document</vt:lpwstr>
  </property>
</Properties>
</file>